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imes New Roman"/>
          <w:b/>
          <w:bCs/>
          <w:sz w:val="44"/>
          <w:szCs w:val="44"/>
        </w:rPr>
      </w:pPr>
      <w:r>
        <w:rPr>
          <w:rFonts w:ascii="仿宋" w:hAnsi="仿宋" w:eastAsia="仿宋"/>
          <w:b/>
          <w:bCs/>
          <w:sz w:val="44"/>
          <w:szCs w:val="44"/>
        </w:rPr>
        <w:t>广州市越秀南AD013907地块项目营销代理</w:t>
      </w:r>
    </w:p>
    <w:p>
      <w:pPr>
        <w:jc w:val="center"/>
        <w:rPr>
          <w:rFonts w:ascii="仿宋" w:hAnsi="仿宋" w:eastAsia="仿宋" w:cs="Times New Roman"/>
          <w:b/>
          <w:bCs/>
          <w:sz w:val="44"/>
          <w:szCs w:val="44"/>
        </w:rPr>
      </w:pPr>
      <w:r>
        <w:rPr>
          <w:rFonts w:ascii="仿宋" w:hAnsi="仿宋" w:eastAsia="仿宋"/>
          <w:b/>
          <w:bCs/>
          <w:sz w:val="44"/>
          <w:szCs w:val="44"/>
        </w:rPr>
        <w:t>公开招标文件</w:t>
      </w:r>
    </w:p>
    <w:p>
      <w:pPr>
        <w:jc w:val="center"/>
        <w:rPr>
          <w:rFonts w:ascii="仿宋" w:hAnsi="仿宋" w:eastAsia="仿宋" w:cs="Times New Roman"/>
          <w:sz w:val="44"/>
          <w:szCs w:val="44"/>
        </w:rPr>
      </w:pPr>
      <w:r>
        <w:rPr>
          <w:rFonts w:ascii="仿宋" w:hAnsi="仿宋" w:eastAsia="仿宋" w:cs="Times New Roman"/>
          <w:sz w:val="44"/>
          <w:szCs w:val="44"/>
        </w:rPr>
        <w:t xml:space="preserve"> </w:t>
      </w:r>
    </w:p>
    <w:p>
      <w:pPr>
        <w:spacing w:line="640" w:lineRule="atLeast"/>
        <w:ind w:firstLine="645"/>
        <w:rPr>
          <w:rFonts w:ascii="仿宋" w:hAnsi="仿宋" w:eastAsia="仿宋"/>
          <w:sz w:val="32"/>
          <w:szCs w:val="32"/>
        </w:rPr>
      </w:pPr>
      <w:r>
        <w:rPr>
          <w:rFonts w:ascii="仿宋" w:hAnsi="仿宋" w:eastAsia="仿宋"/>
          <w:sz w:val="32"/>
          <w:szCs w:val="32"/>
        </w:rPr>
        <w:t>北京中交建设工程咨询有限公司受广州市城悦房地产开发有限公司的委托，对广州市越秀南AD013907地块项目营销代理进行公开招标，欢迎各竞投人参加投标。</w:t>
      </w:r>
    </w:p>
    <w:p>
      <w:pPr>
        <w:spacing w:line="640" w:lineRule="atLeast"/>
        <w:ind w:firstLine="645"/>
        <w:rPr>
          <w:rFonts w:ascii="仿宋" w:hAnsi="仿宋" w:eastAsia="仿宋" w:cs="Times New Roman"/>
          <w:sz w:val="32"/>
          <w:szCs w:val="32"/>
        </w:rPr>
      </w:pPr>
      <w:r>
        <w:rPr>
          <w:rFonts w:ascii="仿宋" w:hAnsi="仿宋" w:eastAsia="仿宋"/>
          <w:sz w:val="32"/>
          <w:szCs w:val="32"/>
        </w:rPr>
        <w:t>本着公平、公开、公正的原则，对广州市越秀南AD013907地块择优选定一家综合实力强、营销业绩好、业界知名的营销单位，进行该项目的营销策划及非独家营销代理（含营销策划、销售代理）服务工作。</w:t>
      </w:r>
    </w:p>
    <w:p>
      <w:pPr>
        <w:spacing w:line="640" w:lineRule="atLeast"/>
        <w:ind w:firstLine="645"/>
        <w:rPr>
          <w:rFonts w:ascii="仿宋" w:hAnsi="仿宋" w:eastAsia="仿宋" w:cs="Times New Roman"/>
          <w:sz w:val="32"/>
          <w:szCs w:val="32"/>
        </w:rPr>
      </w:pPr>
      <w:r>
        <w:rPr>
          <w:rFonts w:hint="eastAsia" w:ascii="仿宋" w:hAnsi="仿宋" w:eastAsia="仿宋"/>
          <w:b/>
          <w:bCs/>
          <w:sz w:val="32"/>
          <w:szCs w:val="32"/>
        </w:rPr>
        <w:t>一、</w:t>
      </w:r>
      <w:r>
        <w:rPr>
          <w:rFonts w:ascii="仿宋" w:hAnsi="仿宋" w:eastAsia="仿宋"/>
          <w:b/>
          <w:bCs/>
          <w:sz w:val="32"/>
          <w:szCs w:val="32"/>
        </w:rPr>
        <w:t>项目概况：</w:t>
      </w:r>
    </w:p>
    <w:p>
      <w:pPr>
        <w:spacing w:line="640" w:lineRule="atLeast"/>
        <w:ind w:firstLine="645"/>
        <w:rPr>
          <w:rFonts w:ascii="仿宋" w:hAnsi="仿宋" w:eastAsia="仿宋" w:cs="Times New Roman"/>
          <w:sz w:val="32"/>
          <w:szCs w:val="32"/>
        </w:rPr>
      </w:pPr>
      <w:r>
        <w:rPr>
          <w:rFonts w:ascii="仿宋" w:hAnsi="仿宋" w:eastAsia="仿宋" w:cs="Times New Roman"/>
          <w:sz w:val="32"/>
          <w:szCs w:val="32"/>
        </w:rPr>
        <w:t>项目位于广州市越秀区，用地面积为14649㎡，可建设用地面积约8200㎡，项目总建筑面积约87900㎡，其中，计容建筑面积约49500㎡，地下室面积约38400㎡，拟建高层住宅、配套商业、幼儿园、配套公建、地下停车库。</w:t>
      </w:r>
    </w:p>
    <w:p>
      <w:pPr>
        <w:spacing w:line="640" w:lineRule="atLeast"/>
        <w:ind w:firstLine="645"/>
        <w:rPr>
          <w:rFonts w:ascii="仿宋" w:hAnsi="仿宋" w:eastAsia="仿宋" w:cs="Times New Roman"/>
          <w:sz w:val="32"/>
          <w:szCs w:val="32"/>
        </w:rPr>
      </w:pPr>
      <w:r>
        <w:rPr>
          <w:rFonts w:ascii="仿宋" w:hAnsi="仿宋" w:eastAsia="仿宋" w:cs="Times New Roman"/>
          <w:sz w:val="32"/>
          <w:szCs w:val="32"/>
        </w:rPr>
        <w:t>项目计划开发进度（最终项目开发进度以实际为准）：</w:t>
      </w:r>
    </w:p>
    <w:tbl>
      <w:tblPr>
        <w:tblStyle w:val="7"/>
        <w:tblW w:w="8960" w:type="dxa"/>
        <w:jc w:val="center"/>
        <w:tblLayout w:type="autofit"/>
        <w:tblCellMar>
          <w:top w:w="0" w:type="dxa"/>
          <w:left w:w="108" w:type="dxa"/>
          <w:bottom w:w="0" w:type="dxa"/>
          <w:right w:w="108" w:type="dxa"/>
        </w:tblCellMar>
      </w:tblPr>
      <w:tblGrid>
        <w:gridCol w:w="846"/>
        <w:gridCol w:w="2835"/>
        <w:gridCol w:w="2359"/>
        <w:gridCol w:w="2920"/>
      </w:tblGrid>
      <w:tr>
        <w:tblPrEx>
          <w:tblCellMar>
            <w:top w:w="0" w:type="dxa"/>
            <w:left w:w="108" w:type="dxa"/>
            <w:bottom w:w="0" w:type="dxa"/>
            <w:right w:w="108" w:type="dxa"/>
          </w:tblCellMar>
        </w:tblPrEx>
        <w:trPr>
          <w:trHeight w:val="575"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关键节点名称</w:t>
            </w:r>
          </w:p>
        </w:tc>
        <w:tc>
          <w:tcPr>
            <w:tcW w:w="23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计划完成时间</w:t>
            </w:r>
          </w:p>
        </w:tc>
        <w:tc>
          <w:tcPr>
            <w:tcW w:w="2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完成成果、标志</w:t>
            </w:r>
          </w:p>
        </w:tc>
      </w:tr>
      <w:tr>
        <w:tblPrEx>
          <w:tblCellMar>
            <w:top w:w="0" w:type="dxa"/>
            <w:left w:w="108" w:type="dxa"/>
            <w:bottom w:w="0" w:type="dxa"/>
            <w:right w:w="108" w:type="dxa"/>
          </w:tblCellMar>
        </w:tblPrEx>
        <w:trPr>
          <w:trHeight w:val="55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获批基坑先行施工</w:t>
            </w:r>
          </w:p>
        </w:tc>
        <w:tc>
          <w:tcPr>
            <w:tcW w:w="2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2020/10/10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基坑施工复函</w:t>
            </w:r>
          </w:p>
        </w:tc>
      </w:tr>
      <w:tr>
        <w:tblPrEx>
          <w:tblCellMar>
            <w:top w:w="0" w:type="dxa"/>
            <w:left w:w="108" w:type="dxa"/>
            <w:bottom w:w="0" w:type="dxa"/>
            <w:right w:w="108" w:type="dxa"/>
          </w:tblCellMar>
        </w:tblPrEx>
        <w:trPr>
          <w:trHeight w:val="61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获批《建设工程规划许可证》</w:t>
            </w:r>
          </w:p>
        </w:tc>
        <w:tc>
          <w:tcPr>
            <w:tcW w:w="2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2020/11/30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《建设工程规划许可证》</w:t>
            </w:r>
          </w:p>
        </w:tc>
      </w:tr>
      <w:tr>
        <w:tblPrEx>
          <w:tblCellMar>
            <w:top w:w="0" w:type="dxa"/>
            <w:left w:w="108" w:type="dxa"/>
            <w:bottom w:w="0" w:type="dxa"/>
            <w:right w:w="108" w:type="dxa"/>
          </w:tblCellMar>
        </w:tblPrEx>
        <w:trPr>
          <w:trHeight w:val="628"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获批主体《施工许可证》</w:t>
            </w:r>
          </w:p>
        </w:tc>
        <w:tc>
          <w:tcPr>
            <w:tcW w:w="2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2021/4/30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《施工许可证》</w:t>
            </w:r>
          </w:p>
        </w:tc>
      </w:tr>
      <w:tr>
        <w:tblPrEx>
          <w:tblCellMar>
            <w:top w:w="0" w:type="dxa"/>
            <w:left w:w="108" w:type="dxa"/>
            <w:bottom w:w="0" w:type="dxa"/>
            <w:right w:w="108" w:type="dxa"/>
          </w:tblCellMar>
        </w:tblPrEx>
        <w:trPr>
          <w:trHeight w:val="61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±0.00以下结构施工</w:t>
            </w:r>
          </w:p>
        </w:tc>
        <w:tc>
          <w:tcPr>
            <w:tcW w:w="2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2021/11/30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当期±0.00以下结构全部浇筑完成</w:t>
            </w:r>
          </w:p>
        </w:tc>
      </w:tr>
      <w:tr>
        <w:tblPrEx>
          <w:tblCellMar>
            <w:top w:w="0" w:type="dxa"/>
            <w:left w:w="108" w:type="dxa"/>
            <w:bottom w:w="0" w:type="dxa"/>
            <w:right w:w="108" w:type="dxa"/>
          </w:tblCellMar>
        </w:tblPrEx>
        <w:trPr>
          <w:trHeight w:val="57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示范区开放</w:t>
            </w:r>
          </w:p>
        </w:tc>
        <w:tc>
          <w:tcPr>
            <w:tcW w:w="2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2022/2/1</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示范区/样板间装修完成</w:t>
            </w:r>
          </w:p>
        </w:tc>
      </w:tr>
      <w:tr>
        <w:tblPrEx>
          <w:tblCellMar>
            <w:top w:w="0" w:type="dxa"/>
            <w:left w:w="108" w:type="dxa"/>
            <w:bottom w:w="0" w:type="dxa"/>
            <w:right w:w="108" w:type="dxa"/>
          </w:tblCellMar>
        </w:tblPrEx>
        <w:trPr>
          <w:trHeight w:val="920"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申领预售证（公开发售）</w:t>
            </w:r>
          </w:p>
        </w:tc>
        <w:tc>
          <w:tcPr>
            <w:tcW w:w="2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2022/4/30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当期项目所有可售物业《预售许可证》并公开发售</w:t>
            </w:r>
          </w:p>
        </w:tc>
      </w:tr>
      <w:tr>
        <w:tblPrEx>
          <w:tblCellMar>
            <w:top w:w="0" w:type="dxa"/>
            <w:left w:w="108" w:type="dxa"/>
            <w:bottom w:w="0" w:type="dxa"/>
            <w:right w:w="108" w:type="dxa"/>
          </w:tblCellMar>
        </w:tblPrEx>
        <w:trPr>
          <w:trHeight w:val="61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结构封顶</w:t>
            </w:r>
          </w:p>
        </w:tc>
        <w:tc>
          <w:tcPr>
            <w:tcW w:w="2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2022/6/30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当期±0.00以上结构全部浇筑完成</w:t>
            </w:r>
          </w:p>
        </w:tc>
      </w:tr>
      <w:tr>
        <w:tblPrEx>
          <w:tblCellMar>
            <w:top w:w="0" w:type="dxa"/>
            <w:left w:w="108" w:type="dxa"/>
            <w:bottom w:w="0" w:type="dxa"/>
            <w:right w:w="108" w:type="dxa"/>
          </w:tblCellMar>
        </w:tblPrEx>
        <w:trPr>
          <w:trHeight w:val="920"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完成85%销售面积</w:t>
            </w:r>
          </w:p>
        </w:tc>
        <w:tc>
          <w:tcPr>
            <w:tcW w:w="2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2023/1/30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以网签合同记录及房地产项目管理信息系统录入为依据</w:t>
            </w:r>
          </w:p>
        </w:tc>
      </w:tr>
      <w:tr>
        <w:tblPrEx>
          <w:tblCellMar>
            <w:top w:w="0" w:type="dxa"/>
            <w:left w:w="108" w:type="dxa"/>
            <w:bottom w:w="0" w:type="dxa"/>
            <w:right w:w="108" w:type="dxa"/>
          </w:tblCellMar>
        </w:tblPrEx>
        <w:trPr>
          <w:trHeight w:val="57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外立面完工（含拆架）</w:t>
            </w:r>
          </w:p>
        </w:tc>
        <w:tc>
          <w:tcPr>
            <w:tcW w:w="2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2022/11/10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外架全部拆除完成</w:t>
            </w:r>
          </w:p>
        </w:tc>
      </w:tr>
      <w:tr>
        <w:tblPrEx>
          <w:tblCellMar>
            <w:top w:w="0" w:type="dxa"/>
            <w:left w:w="108" w:type="dxa"/>
            <w:bottom w:w="0" w:type="dxa"/>
            <w:right w:w="108" w:type="dxa"/>
          </w:tblCellMar>
        </w:tblPrEx>
        <w:trPr>
          <w:trHeight w:val="680"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精装修完成</w:t>
            </w:r>
          </w:p>
        </w:tc>
        <w:tc>
          <w:tcPr>
            <w:tcW w:w="2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2023/3/30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分户验收确认表</w:t>
            </w:r>
          </w:p>
        </w:tc>
      </w:tr>
      <w:tr>
        <w:tblPrEx>
          <w:tblCellMar>
            <w:top w:w="0" w:type="dxa"/>
            <w:left w:w="108" w:type="dxa"/>
            <w:bottom w:w="0" w:type="dxa"/>
            <w:right w:w="108" w:type="dxa"/>
          </w:tblCellMar>
        </w:tblPrEx>
        <w:trPr>
          <w:trHeight w:val="61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规划验收</w:t>
            </w:r>
          </w:p>
        </w:tc>
        <w:tc>
          <w:tcPr>
            <w:tcW w:w="2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2023/2/28</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《建设工程规划验收合格证》</w:t>
            </w:r>
          </w:p>
        </w:tc>
      </w:tr>
      <w:tr>
        <w:tblPrEx>
          <w:tblCellMar>
            <w:top w:w="0" w:type="dxa"/>
            <w:left w:w="108" w:type="dxa"/>
            <w:bottom w:w="0" w:type="dxa"/>
            <w:right w:w="108" w:type="dxa"/>
          </w:tblCellMar>
        </w:tblPrEx>
        <w:trPr>
          <w:trHeight w:val="61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联合验收备案</w:t>
            </w:r>
          </w:p>
        </w:tc>
        <w:tc>
          <w:tcPr>
            <w:tcW w:w="2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2023/4/30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《建设工程项目竣工验收备案登记表》</w:t>
            </w:r>
          </w:p>
        </w:tc>
      </w:tr>
      <w:tr>
        <w:tblPrEx>
          <w:tblCellMar>
            <w:top w:w="0" w:type="dxa"/>
            <w:left w:w="108" w:type="dxa"/>
            <w:bottom w:w="0" w:type="dxa"/>
            <w:right w:w="108" w:type="dxa"/>
          </w:tblCellMar>
        </w:tblPrEx>
        <w:trPr>
          <w:trHeight w:val="58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交付业主</w:t>
            </w:r>
          </w:p>
        </w:tc>
        <w:tc>
          <w:tcPr>
            <w:tcW w:w="2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2023/5/10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业主签署《交楼确认书》</w:t>
            </w:r>
          </w:p>
        </w:tc>
      </w:tr>
    </w:tbl>
    <w:p>
      <w:pPr>
        <w:spacing w:line="640" w:lineRule="atLeast"/>
        <w:ind w:firstLine="645"/>
        <w:rPr>
          <w:rFonts w:ascii="仿宋" w:hAnsi="仿宋" w:eastAsia="仿宋"/>
          <w:b/>
          <w:bCs/>
          <w:sz w:val="32"/>
          <w:szCs w:val="32"/>
        </w:rPr>
      </w:pPr>
      <w:r>
        <w:rPr>
          <w:rFonts w:hint="eastAsia" w:ascii="仿宋" w:hAnsi="仿宋" w:eastAsia="仿宋"/>
          <w:b/>
          <w:bCs/>
          <w:sz w:val="32"/>
          <w:szCs w:val="32"/>
        </w:rPr>
        <w:t>二、</w:t>
      </w:r>
      <w:r>
        <w:rPr>
          <w:rFonts w:ascii="仿宋" w:hAnsi="仿宋" w:eastAsia="仿宋"/>
          <w:b/>
          <w:bCs/>
          <w:sz w:val="32"/>
          <w:szCs w:val="32"/>
        </w:rPr>
        <w:t>采购范围、标的及需求：</w:t>
      </w:r>
    </w:p>
    <w:p>
      <w:pPr>
        <w:spacing w:line="640" w:lineRule="atLeast"/>
        <w:ind w:firstLine="643" w:firstLineChars="200"/>
        <w:rPr>
          <w:rFonts w:ascii="仿宋" w:hAnsi="仿宋" w:eastAsia="仿宋" w:cs="Times New Roman"/>
          <w:b/>
          <w:bCs/>
          <w:sz w:val="32"/>
          <w:szCs w:val="32"/>
        </w:rPr>
      </w:pPr>
      <w:r>
        <w:rPr>
          <w:rFonts w:ascii="仿宋" w:hAnsi="仿宋" w:eastAsia="仿宋" w:cs="Times New Roman"/>
          <w:b/>
          <w:bCs/>
          <w:sz w:val="32"/>
          <w:szCs w:val="32"/>
        </w:rPr>
        <w:t>（一）项目策划类工作内容</w:t>
      </w:r>
    </w:p>
    <w:p>
      <w:pPr>
        <w:spacing w:line="640" w:lineRule="atLeast"/>
        <w:ind w:firstLine="645"/>
        <w:rPr>
          <w:rFonts w:ascii="仿宋" w:hAnsi="仿宋" w:eastAsia="仿宋" w:cs="Times New Roman"/>
          <w:sz w:val="32"/>
          <w:szCs w:val="32"/>
        </w:rPr>
      </w:pPr>
      <w:r>
        <w:rPr>
          <w:rFonts w:ascii="仿宋" w:hAnsi="仿宋" w:eastAsia="仿宋" w:cs="Times New Roman"/>
          <w:sz w:val="32"/>
          <w:szCs w:val="32"/>
        </w:rPr>
        <w:t>包括但不限于：</w:t>
      </w:r>
    </w:p>
    <w:p>
      <w:pPr>
        <w:spacing w:line="640" w:lineRule="atLeast"/>
        <w:ind w:firstLine="645"/>
        <w:rPr>
          <w:rFonts w:ascii="仿宋" w:hAnsi="仿宋" w:eastAsia="仿宋" w:cs="Times New Roman"/>
          <w:sz w:val="32"/>
          <w:szCs w:val="32"/>
        </w:rPr>
      </w:pPr>
      <w:r>
        <w:rPr>
          <w:rFonts w:ascii="仿宋" w:hAnsi="仿宋" w:eastAsia="仿宋" w:cs="Times New Roman"/>
          <w:sz w:val="32"/>
          <w:szCs w:val="32"/>
        </w:rPr>
        <w:t>1、负责撰写项目整体营销策略报告、营销思路深化方案、拟定营销推广建议、项目产品定价报告、收筹和推货策略方案、开盘方案、销售拓展执行方案、目标客户分析、市场周报、月报等。</w:t>
      </w:r>
    </w:p>
    <w:p>
      <w:pPr>
        <w:spacing w:line="640" w:lineRule="atLeast"/>
        <w:ind w:firstLine="645"/>
        <w:rPr>
          <w:rFonts w:ascii="仿宋" w:hAnsi="仿宋" w:eastAsia="仿宋" w:cs="Times New Roman"/>
          <w:sz w:val="32"/>
          <w:szCs w:val="32"/>
        </w:rPr>
      </w:pPr>
      <w:r>
        <w:rPr>
          <w:rFonts w:ascii="仿宋" w:hAnsi="仿宋" w:eastAsia="仿宋" w:cs="Times New Roman"/>
          <w:sz w:val="32"/>
          <w:szCs w:val="32"/>
        </w:rPr>
        <w:t>2、协助确定合作公司（广告、制作、活动公司等）、协助推进广告公司的推广策略和项目形象设计工作：包括案名、项目logo、项目vi、主画面等；协助现场物料设计制作：包括户型图、单张、手提资料袋、伴手礼等；协助开放活动、开盘活动；协助产品发布会宣传、布置、邀约、执行等工作；协助推广：包括跟进微信推文、网络推广、户外、大v、电台、朋友圈等；协助微信推广、小视频发布、项目宣传片等的相关工作。</w:t>
      </w:r>
    </w:p>
    <w:p>
      <w:pPr>
        <w:spacing w:line="640" w:lineRule="atLeast"/>
        <w:ind w:firstLine="645"/>
        <w:rPr>
          <w:rFonts w:ascii="仿宋" w:hAnsi="仿宋" w:eastAsia="仿宋" w:cs="Times New Roman"/>
          <w:sz w:val="32"/>
          <w:szCs w:val="32"/>
        </w:rPr>
      </w:pPr>
      <w:r>
        <w:rPr>
          <w:rFonts w:ascii="仿宋" w:hAnsi="仿宋" w:eastAsia="仿宋" w:cs="Times New Roman"/>
          <w:sz w:val="32"/>
          <w:szCs w:val="32"/>
        </w:rPr>
        <w:t>3、协助提供销售中心、样板房、看楼动线设置及装修包装风格建议；协助提供交楼标准的建议；协助提供园林、示范区的风格建议等。</w:t>
      </w:r>
    </w:p>
    <w:p>
      <w:pPr>
        <w:spacing w:line="640" w:lineRule="atLeast"/>
        <w:ind w:firstLine="645"/>
        <w:rPr>
          <w:rFonts w:ascii="仿宋" w:hAnsi="仿宋" w:eastAsia="仿宋" w:cs="Times New Roman"/>
          <w:sz w:val="32"/>
          <w:szCs w:val="32"/>
        </w:rPr>
      </w:pPr>
      <w:r>
        <w:rPr>
          <w:rFonts w:ascii="仿宋" w:hAnsi="仿宋" w:eastAsia="仿宋" w:cs="Times New Roman"/>
          <w:sz w:val="32"/>
          <w:szCs w:val="32"/>
        </w:rPr>
        <w:t>4、现场包装工作协助：道路指引系统；停车场包装及指引；精神堡垒和保安亭；项目围挡、主入口大门；园林绿化；楼体灯字；营销中心、样板房通道包装等。</w:t>
      </w:r>
    </w:p>
    <w:p>
      <w:pPr>
        <w:spacing w:line="640" w:lineRule="atLeast"/>
        <w:ind w:firstLine="645"/>
        <w:rPr>
          <w:rFonts w:ascii="仿宋" w:hAnsi="仿宋" w:eastAsia="仿宋" w:cs="Times New Roman"/>
          <w:b/>
          <w:bCs/>
          <w:sz w:val="32"/>
          <w:szCs w:val="32"/>
        </w:rPr>
      </w:pPr>
      <w:r>
        <w:rPr>
          <w:rFonts w:ascii="仿宋" w:hAnsi="仿宋" w:eastAsia="仿宋" w:cs="Times New Roman"/>
          <w:b/>
          <w:bCs/>
          <w:sz w:val="32"/>
          <w:szCs w:val="32"/>
        </w:rPr>
        <w:t>（二）项目销售类工作内容</w:t>
      </w:r>
    </w:p>
    <w:p>
      <w:pPr>
        <w:spacing w:line="640" w:lineRule="atLeast"/>
        <w:ind w:firstLine="645"/>
        <w:rPr>
          <w:rFonts w:ascii="仿宋" w:hAnsi="仿宋" w:eastAsia="仿宋"/>
          <w:sz w:val="32"/>
          <w:szCs w:val="32"/>
        </w:rPr>
      </w:pPr>
      <w:r>
        <w:rPr>
          <w:rFonts w:ascii="仿宋" w:hAnsi="仿宋" w:eastAsia="仿宋"/>
          <w:sz w:val="32"/>
          <w:szCs w:val="32"/>
        </w:rPr>
        <w:t>包括但不限于：</w:t>
      </w:r>
    </w:p>
    <w:p>
      <w:pPr>
        <w:spacing w:line="640" w:lineRule="atLeast"/>
        <w:ind w:firstLine="645"/>
        <w:rPr>
          <w:rFonts w:ascii="仿宋" w:hAnsi="仿宋" w:eastAsia="仿宋"/>
          <w:sz w:val="32"/>
          <w:szCs w:val="32"/>
        </w:rPr>
      </w:pPr>
      <w:r>
        <w:rPr>
          <w:rFonts w:ascii="仿宋" w:hAnsi="仿宋" w:eastAsia="仿宋"/>
          <w:sz w:val="32"/>
          <w:szCs w:val="32"/>
        </w:rPr>
        <w:t>销售团队组建、客户接待及集中培训、销售说辞、百问百答、抗性口径等；销售接待礼仪等。制定销售流程及组织销售培训、负责销售执行、提出分期推盘建议及售价建议等。</w:t>
      </w:r>
    </w:p>
    <w:p>
      <w:pPr>
        <w:spacing w:line="640" w:lineRule="atLeast"/>
        <w:ind w:firstLine="645"/>
        <w:rPr>
          <w:rFonts w:ascii="仿宋" w:hAnsi="仿宋" w:eastAsia="仿宋"/>
          <w:sz w:val="32"/>
          <w:szCs w:val="32"/>
        </w:rPr>
      </w:pPr>
      <w:r>
        <w:rPr>
          <w:rFonts w:ascii="仿宋" w:hAnsi="仿宋" w:eastAsia="仿宋"/>
          <w:sz w:val="32"/>
          <w:szCs w:val="32"/>
        </w:rPr>
        <w:t>中标人同意接受联合驻场代理的合作模式，中标人派驻自己的销售团队驻场接待及服务客户，并借力社会各渠道客户资源，实现项目销售目标。</w:t>
      </w:r>
    </w:p>
    <w:p>
      <w:pPr>
        <w:spacing w:line="640" w:lineRule="atLeast"/>
        <w:ind w:firstLine="645"/>
        <w:rPr>
          <w:rFonts w:ascii="仿宋" w:hAnsi="仿宋" w:eastAsia="仿宋" w:cs="Times New Roman"/>
          <w:b/>
          <w:bCs/>
          <w:sz w:val="32"/>
          <w:szCs w:val="32"/>
        </w:rPr>
      </w:pPr>
      <w:r>
        <w:rPr>
          <w:rFonts w:ascii="仿宋" w:hAnsi="仿宋" w:eastAsia="仿宋"/>
          <w:b/>
          <w:bCs/>
          <w:sz w:val="32"/>
          <w:szCs w:val="32"/>
        </w:rPr>
        <w:t>三、竞投文件组成及编制要求</w:t>
      </w:r>
    </w:p>
    <w:p>
      <w:pPr>
        <w:spacing w:line="640" w:lineRule="atLeast"/>
        <w:ind w:firstLine="600" w:firstLineChars="200"/>
        <w:rPr>
          <w:rFonts w:ascii="仿宋" w:hAnsi="仿宋" w:eastAsia="仿宋" w:cs="Times New Roman"/>
          <w:b/>
          <w:bCs/>
          <w:spacing w:val="-10"/>
          <w:sz w:val="32"/>
          <w:szCs w:val="32"/>
        </w:rPr>
      </w:pPr>
      <w:r>
        <w:rPr>
          <w:rFonts w:ascii="仿宋" w:hAnsi="仿宋" w:eastAsia="仿宋"/>
          <w:spacing w:val="-10"/>
          <w:sz w:val="32"/>
          <w:szCs w:val="32"/>
        </w:rPr>
        <w:t>竞投文件由以下三部分组成，竞投人须按相应要求进行编制：</w:t>
      </w:r>
    </w:p>
    <w:p>
      <w:pPr>
        <w:spacing w:line="640" w:lineRule="atLeast"/>
        <w:ind w:firstLine="640" w:firstLineChars="200"/>
        <w:rPr>
          <w:rFonts w:ascii="仿宋" w:hAnsi="仿宋" w:eastAsia="仿宋" w:cs="Times New Roman"/>
          <w:sz w:val="32"/>
          <w:szCs w:val="32"/>
        </w:rPr>
      </w:pPr>
      <w:r>
        <w:rPr>
          <w:rFonts w:ascii="仿宋" w:hAnsi="仿宋" w:eastAsia="仿宋"/>
          <w:sz w:val="32"/>
          <w:szCs w:val="32"/>
        </w:rPr>
        <w:t>第一部分：单位综合实力</w:t>
      </w:r>
    </w:p>
    <w:p>
      <w:pPr>
        <w:pStyle w:val="3"/>
        <w:spacing w:line="640" w:lineRule="atLeast"/>
        <w:ind w:firstLine="640" w:firstLineChars="200"/>
        <w:rPr>
          <w:rFonts w:ascii="仿宋" w:hAnsi="仿宋" w:eastAsia="仿宋"/>
          <w:sz w:val="32"/>
          <w:szCs w:val="32"/>
        </w:rPr>
      </w:pPr>
      <w:r>
        <w:rPr>
          <w:rFonts w:ascii="仿宋" w:hAnsi="仿宋" w:eastAsia="仿宋"/>
          <w:sz w:val="32"/>
          <w:szCs w:val="32"/>
        </w:rPr>
        <w:t>包括但不限于竞投人单位概况与自身优势简介、近三年（2018-2020年）广州区域销售总额（分项目分年度列出）、服务知名房地产公司数量等（附证明材料）、单位法人营业执照复印件、法定代表人身份证明书及法人授权委托证明书原件等。</w:t>
      </w:r>
    </w:p>
    <w:p>
      <w:pPr>
        <w:spacing w:line="640" w:lineRule="atLeast"/>
        <w:ind w:firstLine="640" w:firstLineChars="200"/>
        <w:rPr>
          <w:rFonts w:ascii="仿宋" w:hAnsi="仿宋" w:eastAsia="仿宋" w:cs="Times New Roman"/>
          <w:sz w:val="32"/>
          <w:szCs w:val="32"/>
        </w:rPr>
      </w:pPr>
      <w:r>
        <w:rPr>
          <w:rFonts w:ascii="仿宋" w:hAnsi="仿宋" w:eastAsia="仿宋"/>
          <w:sz w:val="32"/>
          <w:szCs w:val="32"/>
        </w:rPr>
        <w:t>第二部分：服务团队</w:t>
      </w:r>
    </w:p>
    <w:p>
      <w:pPr>
        <w:spacing w:line="260" w:lineRule="atLeast"/>
        <w:ind w:firstLine="624" w:firstLineChars="200"/>
        <w:rPr>
          <w:rFonts w:ascii="仿宋" w:hAnsi="仿宋" w:eastAsia="仿宋" w:cs="Times New Roman"/>
          <w:spacing w:val="-4"/>
          <w:sz w:val="32"/>
          <w:szCs w:val="32"/>
        </w:rPr>
      </w:pPr>
      <w:r>
        <w:rPr>
          <w:rFonts w:ascii="仿宋" w:hAnsi="仿宋" w:eastAsia="仿宋" w:cs="Times New Roman"/>
          <w:spacing w:val="-4"/>
          <w:sz w:val="32"/>
          <w:szCs w:val="32"/>
        </w:rPr>
        <w:t>竞投人应为本项目工作内容配备经验丰富的营销团队（包括营销策划团队、销售代理团队等，竞投人可根据自身管理架构自行组合配置）。</w:t>
      </w:r>
      <w:r>
        <w:rPr>
          <w:rFonts w:hint="eastAsia" w:ascii="仿宋" w:hAnsi="仿宋" w:eastAsia="仿宋" w:cs="Times New Roman"/>
          <w:spacing w:val="-4"/>
          <w:sz w:val="32"/>
          <w:szCs w:val="32"/>
        </w:rPr>
        <w:t>项目总负责1人（须具备5年以上广州区域高端住宅项目营销经验或具有同类项目营销操盘业绩），策划及销售负责人各1人（均须具备4年以上相应从业经验或具有同类项目营销操盘业绩），其他策划人员不少于3人，销售人员不少于10人。具有高端住宅销售经验。&lt;高端住宅指近三年内（2018年-2020年）广州区域一手房源销售单价超过7万元/㎡楼盘&gt;。</w:t>
      </w:r>
    </w:p>
    <w:p>
      <w:pPr>
        <w:spacing w:line="260" w:lineRule="atLeast"/>
        <w:ind w:firstLine="627" w:firstLineChars="196"/>
        <w:rPr>
          <w:rFonts w:ascii="仿宋" w:hAnsi="仿宋" w:eastAsia="仿宋"/>
          <w:sz w:val="32"/>
          <w:szCs w:val="32"/>
        </w:rPr>
      </w:pPr>
      <w:r>
        <w:rPr>
          <w:rFonts w:ascii="仿宋" w:hAnsi="仿宋" w:eastAsia="仿宋"/>
          <w:sz w:val="32"/>
          <w:szCs w:val="32"/>
        </w:rPr>
        <w:t>第三部分：服务方案</w:t>
      </w:r>
    </w:p>
    <w:p>
      <w:pPr>
        <w:spacing w:line="260" w:lineRule="atLeast"/>
        <w:ind w:firstLine="627" w:firstLineChars="196"/>
        <w:rPr>
          <w:rFonts w:ascii="仿宋" w:hAnsi="仿宋" w:eastAsia="仿宋"/>
          <w:sz w:val="32"/>
          <w:szCs w:val="32"/>
        </w:rPr>
      </w:pPr>
      <w:r>
        <w:rPr>
          <w:rFonts w:ascii="仿宋" w:hAnsi="仿宋" w:eastAsia="仿宋"/>
          <w:sz w:val="32"/>
          <w:szCs w:val="32"/>
        </w:rPr>
        <w:t>在本招标文件附件1工作大纲基础上提出细化、深化的服务方案。</w:t>
      </w:r>
    </w:p>
    <w:p>
      <w:pPr>
        <w:spacing w:line="260" w:lineRule="atLeast"/>
        <w:ind w:firstLine="627" w:firstLineChars="196"/>
        <w:rPr>
          <w:rFonts w:ascii="仿宋" w:hAnsi="仿宋" w:eastAsia="仿宋"/>
          <w:sz w:val="32"/>
          <w:szCs w:val="32"/>
        </w:rPr>
      </w:pPr>
      <w:r>
        <w:rPr>
          <w:rFonts w:ascii="仿宋" w:hAnsi="仿宋" w:eastAsia="仿宋"/>
          <w:sz w:val="32"/>
          <w:szCs w:val="32"/>
        </w:rPr>
        <w:t>第四部分：《项目整体营销策略报告》</w:t>
      </w:r>
    </w:p>
    <w:p>
      <w:pPr>
        <w:spacing w:line="260" w:lineRule="atLeast"/>
        <w:ind w:firstLine="627" w:firstLineChars="196"/>
        <w:rPr>
          <w:rFonts w:ascii="仿宋" w:hAnsi="仿宋" w:eastAsia="仿宋"/>
          <w:sz w:val="32"/>
          <w:szCs w:val="32"/>
        </w:rPr>
      </w:pPr>
      <w:r>
        <w:rPr>
          <w:rFonts w:ascii="仿宋" w:hAnsi="仿宋" w:eastAsia="仿宋"/>
          <w:sz w:val="32"/>
          <w:szCs w:val="32"/>
        </w:rPr>
        <w:t>《项目整体营销策略报告》要求详见附件2。上述各部分文件均应清晰、完整，并装订成册，一式六份（一正五副），集中统一密封。封面、封口处应加盖单位公章。所有复印件均须加盖公章，有关证明资料必须真实完整有效，如发现任何不实或隐瞒、虚报等情况，招标人有权随时取消其中选资格。</w:t>
      </w:r>
    </w:p>
    <w:p>
      <w:pPr>
        <w:spacing w:line="260" w:lineRule="atLeast"/>
        <w:ind w:firstLine="630" w:firstLineChars="196"/>
        <w:rPr>
          <w:rFonts w:ascii="仿宋" w:hAnsi="仿宋" w:eastAsia="仿宋"/>
          <w:b/>
          <w:sz w:val="32"/>
          <w:szCs w:val="32"/>
        </w:rPr>
      </w:pPr>
      <w:r>
        <w:rPr>
          <w:rFonts w:hint="eastAsia" w:ascii="仿宋" w:hAnsi="仿宋" w:eastAsia="仿宋"/>
          <w:b/>
          <w:sz w:val="32"/>
          <w:szCs w:val="32"/>
        </w:rPr>
        <w:t>注：1.投标人提供的包括但不限于服务方案、《项目整体营销策略报告》等投标文件，不论投标人是否中标，招标人均无须向投标人支付经济补偿。2.招标人和中标人有权在本项目中参考使用投标人提交的投标文件中包括但不限于项目案名、推广策略等内容，投标人不得对此提出异议或提出费用请求。</w:t>
      </w:r>
    </w:p>
    <w:p>
      <w:pPr>
        <w:spacing w:line="260" w:lineRule="atLeast"/>
        <w:ind w:firstLine="630" w:firstLineChars="196"/>
        <w:rPr>
          <w:rFonts w:ascii="仿宋" w:hAnsi="仿宋" w:eastAsia="仿宋"/>
          <w:b/>
          <w:bCs/>
          <w:sz w:val="32"/>
          <w:szCs w:val="32"/>
        </w:rPr>
      </w:pPr>
    </w:p>
    <w:p>
      <w:pPr>
        <w:spacing w:line="260" w:lineRule="atLeast"/>
        <w:ind w:firstLine="630" w:firstLineChars="196"/>
        <w:rPr>
          <w:rFonts w:ascii="仿宋" w:hAnsi="仿宋" w:eastAsia="仿宋" w:cs="Times New Roman"/>
          <w:b/>
          <w:bCs/>
          <w:sz w:val="32"/>
          <w:szCs w:val="32"/>
        </w:rPr>
      </w:pPr>
      <w:r>
        <w:rPr>
          <w:rFonts w:ascii="仿宋" w:hAnsi="仿宋" w:eastAsia="仿宋"/>
          <w:b/>
          <w:bCs/>
          <w:sz w:val="32"/>
          <w:szCs w:val="32"/>
        </w:rPr>
        <w:t>四、策划服务费、代理服务费用及相关费用</w:t>
      </w:r>
    </w:p>
    <w:p>
      <w:pPr>
        <w:spacing w:line="260" w:lineRule="atLeast"/>
        <w:ind w:firstLine="630" w:firstLineChars="196"/>
        <w:rPr>
          <w:rFonts w:ascii="仿宋" w:hAnsi="仿宋" w:eastAsia="仿宋"/>
          <w:b/>
          <w:bCs/>
          <w:sz w:val="32"/>
          <w:szCs w:val="32"/>
        </w:rPr>
      </w:pPr>
      <w:r>
        <w:rPr>
          <w:rFonts w:ascii="仿宋" w:hAnsi="仿宋" w:eastAsia="仿宋"/>
          <w:b/>
          <w:bCs/>
          <w:sz w:val="32"/>
          <w:szCs w:val="32"/>
        </w:rPr>
        <w:t>（一）策划服务费及付款方式</w:t>
      </w:r>
    </w:p>
    <w:p>
      <w:pPr>
        <w:spacing w:line="260" w:lineRule="atLeast"/>
        <w:ind w:firstLine="627" w:firstLineChars="196"/>
        <w:rPr>
          <w:rFonts w:ascii="仿宋" w:hAnsi="仿宋" w:eastAsia="仿宋"/>
          <w:sz w:val="32"/>
          <w:szCs w:val="32"/>
        </w:rPr>
      </w:pPr>
      <w:r>
        <w:rPr>
          <w:rFonts w:ascii="仿宋" w:hAnsi="仿宋" w:eastAsia="仿宋"/>
          <w:sz w:val="32"/>
          <w:szCs w:val="32"/>
        </w:rPr>
        <w:t>即自中标人与招标人合同签订之日起，至项目正式对外公开发售日止（具体以招标人书面通知为准），持续为项目提供策划跟踪服务，服务内容包含但不限于采购需求内容，策划服务费包干含税总价人民币36万元，除招标人按合同约定单方解除合同时中标人须退还该费用外，本策划服务费不因任何原因变更。</w:t>
      </w:r>
    </w:p>
    <w:p>
      <w:pPr>
        <w:spacing w:line="260" w:lineRule="atLeast"/>
        <w:ind w:firstLine="627" w:firstLineChars="196"/>
        <w:rPr>
          <w:rFonts w:ascii="仿宋" w:hAnsi="仿宋" w:eastAsia="仿宋"/>
          <w:sz w:val="32"/>
          <w:szCs w:val="32"/>
        </w:rPr>
      </w:pPr>
      <w:r>
        <w:rPr>
          <w:rFonts w:ascii="仿宋" w:hAnsi="仿宋" w:eastAsia="仿宋"/>
          <w:sz w:val="32"/>
          <w:szCs w:val="32"/>
        </w:rPr>
        <w:t>具体支付方式按合同条款约定。</w:t>
      </w:r>
    </w:p>
    <w:p>
      <w:pPr>
        <w:spacing w:line="260" w:lineRule="atLeast"/>
        <w:ind w:firstLine="630" w:firstLineChars="196"/>
        <w:rPr>
          <w:rFonts w:ascii="仿宋" w:hAnsi="仿宋" w:eastAsia="仿宋"/>
          <w:b/>
          <w:bCs/>
          <w:sz w:val="32"/>
          <w:szCs w:val="32"/>
        </w:rPr>
      </w:pPr>
      <w:r>
        <w:rPr>
          <w:rFonts w:ascii="仿宋" w:hAnsi="仿宋" w:eastAsia="仿宋"/>
          <w:b/>
          <w:bCs/>
          <w:sz w:val="32"/>
          <w:szCs w:val="32"/>
        </w:rPr>
        <w:t>（二）销售代理服务费</w:t>
      </w:r>
    </w:p>
    <w:p>
      <w:pPr>
        <w:spacing w:line="260" w:lineRule="atLeast"/>
        <w:ind w:firstLine="627" w:firstLineChars="196"/>
        <w:rPr>
          <w:rFonts w:ascii="仿宋" w:hAnsi="仿宋" w:eastAsia="仿宋"/>
          <w:sz w:val="32"/>
          <w:szCs w:val="32"/>
        </w:rPr>
      </w:pPr>
      <w:r>
        <w:rPr>
          <w:rFonts w:ascii="仿宋" w:hAnsi="仿宋" w:eastAsia="仿宋"/>
          <w:sz w:val="32"/>
          <w:szCs w:val="32"/>
        </w:rPr>
        <w:t>1. 按销售成交金额（即商品房买卖合同实际回款金额）的</w:t>
      </w:r>
      <w:r>
        <w:rPr>
          <w:rFonts w:ascii="仿宋" w:hAnsi="仿宋" w:eastAsia="仿宋"/>
          <w:sz w:val="32"/>
          <w:szCs w:val="32"/>
          <w:u w:val="single"/>
        </w:rPr>
        <w:t xml:space="preserve">  1 </w:t>
      </w:r>
      <w:r>
        <w:rPr>
          <w:rFonts w:ascii="仿宋" w:hAnsi="仿宋" w:eastAsia="仿宋"/>
          <w:sz w:val="32"/>
          <w:szCs w:val="32"/>
        </w:rPr>
        <w:t>%计算；按照下述销售任务目标完成情况，最高计提标准为</w:t>
      </w:r>
      <w:r>
        <w:rPr>
          <w:rFonts w:ascii="仿宋" w:hAnsi="仿宋" w:eastAsia="仿宋"/>
          <w:sz w:val="32"/>
          <w:szCs w:val="32"/>
          <w:u w:val="single"/>
        </w:rPr>
        <w:t xml:space="preserve">  1.2% </w:t>
      </w:r>
      <w:r>
        <w:rPr>
          <w:rFonts w:ascii="仿宋" w:hAnsi="仿宋" w:eastAsia="仿宋"/>
          <w:sz w:val="32"/>
          <w:szCs w:val="32"/>
        </w:rPr>
        <w:t>。招标人按照下述各阶段中标人销售业绩完成情况对应的销售代理费计提点数及实际回款金额据实向中标人结算各阶段的销售代理服务费。</w:t>
      </w:r>
    </w:p>
    <w:p>
      <w:pPr>
        <w:spacing w:line="260" w:lineRule="atLeast"/>
        <w:ind w:firstLine="627" w:firstLineChars="196"/>
        <w:rPr>
          <w:rFonts w:ascii="仿宋" w:hAnsi="仿宋" w:eastAsia="仿宋"/>
          <w:sz w:val="32"/>
          <w:szCs w:val="32"/>
        </w:rPr>
      </w:pPr>
      <w:r>
        <w:rPr>
          <w:rFonts w:ascii="仿宋" w:hAnsi="仿宋" w:eastAsia="仿宋"/>
          <w:sz w:val="32"/>
          <w:szCs w:val="32"/>
        </w:rPr>
        <w:t>销售任务目标如下：</w:t>
      </w:r>
    </w:p>
    <w:tbl>
      <w:tblPr>
        <w:tblStyle w:val="7"/>
        <w:tblW w:w="8960" w:type="dxa"/>
        <w:jc w:val="center"/>
        <w:tblLayout w:type="autofit"/>
        <w:tblCellMar>
          <w:top w:w="0" w:type="dxa"/>
          <w:left w:w="108" w:type="dxa"/>
          <w:bottom w:w="0" w:type="dxa"/>
          <w:right w:w="108" w:type="dxa"/>
        </w:tblCellMar>
      </w:tblPr>
      <w:tblGrid>
        <w:gridCol w:w="1200"/>
        <w:gridCol w:w="2860"/>
        <w:gridCol w:w="1980"/>
        <w:gridCol w:w="2920"/>
      </w:tblGrid>
      <w:tr>
        <w:tblPrEx>
          <w:tblCellMar>
            <w:top w:w="0" w:type="dxa"/>
            <w:left w:w="108" w:type="dxa"/>
            <w:bottom w:w="0" w:type="dxa"/>
            <w:right w:w="108" w:type="dxa"/>
          </w:tblCellMar>
        </w:tblPrEx>
        <w:trPr>
          <w:trHeight w:val="607" w:hRule="atLeast"/>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阶段划分</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销售进度</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累计须达到销售目标面积（㎡）</w:t>
            </w:r>
          </w:p>
        </w:tc>
        <w:tc>
          <w:tcPr>
            <w:tcW w:w="2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销售代理服务费计提点数</w:t>
            </w:r>
          </w:p>
        </w:tc>
      </w:tr>
      <w:tr>
        <w:tblPrEx>
          <w:tblCellMar>
            <w:top w:w="0" w:type="dxa"/>
            <w:left w:w="108" w:type="dxa"/>
            <w:bottom w:w="0" w:type="dxa"/>
            <w:right w:w="108" w:type="dxa"/>
          </w:tblCellMar>
        </w:tblPrEx>
        <w:trPr>
          <w:trHeight w:val="607"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第一阶段</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开盘销售3个月内（取得预售证一个月内开盘）</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4913</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完成销售目标按1.2%计提（未完成目标按1%计提）</w:t>
            </w:r>
          </w:p>
        </w:tc>
      </w:tr>
      <w:tr>
        <w:tblPrEx>
          <w:tblCellMar>
            <w:top w:w="0" w:type="dxa"/>
            <w:left w:w="108" w:type="dxa"/>
            <w:bottom w:w="0" w:type="dxa"/>
            <w:right w:w="108" w:type="dxa"/>
          </w:tblCellMar>
        </w:tblPrEx>
        <w:trPr>
          <w:trHeight w:val="614"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第二阶段</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第一阶段后6个月内</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9007</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完成销售目标按1.2%计提（未完成目标按1%计提）</w:t>
            </w:r>
          </w:p>
        </w:tc>
      </w:tr>
      <w:tr>
        <w:tblPrEx>
          <w:tblCellMar>
            <w:top w:w="0" w:type="dxa"/>
            <w:left w:w="108" w:type="dxa"/>
            <w:bottom w:w="0" w:type="dxa"/>
            <w:right w:w="108" w:type="dxa"/>
          </w:tblCellMar>
        </w:tblPrEx>
        <w:trPr>
          <w:trHeight w:val="614"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第三阶段</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第二阶段后6个月内</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13101</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完成销售目标按1.2%计提（未完成目标按1%计提）</w:t>
            </w:r>
          </w:p>
        </w:tc>
      </w:tr>
      <w:tr>
        <w:tblPrEx>
          <w:tblCellMar>
            <w:top w:w="0" w:type="dxa"/>
            <w:left w:w="108" w:type="dxa"/>
            <w:bottom w:w="0" w:type="dxa"/>
            <w:right w:w="108" w:type="dxa"/>
          </w:tblCellMar>
        </w:tblPrEx>
        <w:trPr>
          <w:trHeight w:val="614"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第四阶段</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第三阶段后6个月内</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16376</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完成销售目标按1.2%计提（未完成目标按1%计提）</w:t>
            </w:r>
          </w:p>
        </w:tc>
      </w:tr>
    </w:tbl>
    <w:p>
      <w:pPr>
        <w:spacing w:line="260" w:lineRule="atLeast"/>
        <w:ind w:firstLine="640" w:firstLineChars="200"/>
        <w:rPr>
          <w:rFonts w:ascii="仿宋" w:hAnsi="仿宋" w:eastAsia="仿宋"/>
          <w:sz w:val="32"/>
          <w:szCs w:val="32"/>
        </w:rPr>
      </w:pPr>
      <w:r>
        <w:rPr>
          <w:rStyle w:val="10"/>
          <w:rFonts w:hint="eastAsia" w:ascii="仿宋" w:hAnsi="仿宋" w:eastAsia="仿宋"/>
          <w:color w:val="auto"/>
          <w:sz w:val="32"/>
          <w:szCs w:val="32"/>
        </w:rPr>
        <w:t>若招标人启动二手渠道或其他渠道进行场外带客，招标人应向中标人提供书面告知函，说明二手渠道或其他渠道带客的起始时间及结束时间，此期间的二手渠道或其他渠道客户的场内接待和销售服务，由中标人跟进，成交单位对应的面积计入中标人销售目标面积，成交单位对应的销售代理服务费结算标准为：</w:t>
      </w:r>
      <w:r>
        <w:rPr>
          <w:rFonts w:ascii="仿宋" w:hAnsi="仿宋" w:eastAsia="仿宋"/>
          <w:sz w:val="32"/>
          <w:szCs w:val="32"/>
        </w:rPr>
        <w:t>按成交单位销售成交金额（即商品房买卖合同实际回款金额）的</w:t>
      </w:r>
      <w:r>
        <w:rPr>
          <w:rFonts w:hint="eastAsia" w:ascii="仿宋" w:hAnsi="仿宋" w:eastAsia="仿宋"/>
          <w:sz w:val="32"/>
          <w:szCs w:val="32"/>
        </w:rPr>
        <w:t>60</w:t>
      </w:r>
      <w:r>
        <w:rPr>
          <w:rFonts w:ascii="仿宋" w:hAnsi="仿宋" w:eastAsia="仿宋"/>
          <w:sz w:val="32"/>
          <w:szCs w:val="32"/>
        </w:rPr>
        <w:t>%计算</w:t>
      </w:r>
      <w:r>
        <w:rPr>
          <w:rStyle w:val="10"/>
          <w:rFonts w:hint="eastAsia" w:ascii="仿宋" w:hAnsi="仿宋" w:eastAsia="仿宋"/>
          <w:color w:val="auto"/>
          <w:sz w:val="32"/>
          <w:szCs w:val="32"/>
        </w:rPr>
        <w:t xml:space="preserve">。  </w:t>
      </w:r>
    </w:p>
    <w:p>
      <w:pPr>
        <w:spacing w:line="360" w:lineRule="auto"/>
        <w:ind w:firstLine="640" w:firstLineChars="200"/>
        <w:rPr>
          <w:rFonts w:ascii="仿宋" w:hAnsi="仿宋" w:eastAsia="仿宋"/>
          <w:sz w:val="32"/>
          <w:szCs w:val="32"/>
        </w:rPr>
      </w:pPr>
      <w:r>
        <w:rPr>
          <w:rFonts w:ascii="仿宋" w:hAnsi="仿宋" w:eastAsia="仿宋"/>
          <w:sz w:val="32"/>
          <w:szCs w:val="32"/>
        </w:rPr>
        <w:t>2、具体支付方式按合同条款约定。</w:t>
      </w:r>
    </w:p>
    <w:p>
      <w:pPr>
        <w:spacing w:line="360" w:lineRule="auto"/>
        <w:ind w:firstLine="643" w:firstLineChars="200"/>
        <w:rPr>
          <w:rFonts w:ascii="仿宋" w:hAnsi="仿宋" w:eastAsia="仿宋" w:cs="Times New Roman"/>
          <w:b/>
          <w:bCs/>
          <w:sz w:val="32"/>
          <w:szCs w:val="32"/>
        </w:rPr>
      </w:pPr>
      <w:r>
        <w:rPr>
          <w:rFonts w:ascii="仿宋" w:hAnsi="仿宋" w:eastAsia="仿宋"/>
          <w:b/>
          <w:bCs/>
          <w:sz w:val="32"/>
          <w:szCs w:val="32"/>
        </w:rPr>
        <w:t>五、评审及定标程序</w:t>
      </w:r>
    </w:p>
    <w:p>
      <w:pPr>
        <w:snapToGrid w:val="0"/>
        <w:spacing w:line="640" w:lineRule="atLeast"/>
        <w:ind w:firstLine="640" w:firstLineChars="200"/>
        <w:rPr>
          <w:rFonts w:ascii="仿宋" w:hAnsi="仿宋" w:eastAsia="仿宋"/>
          <w:sz w:val="32"/>
          <w:szCs w:val="32"/>
        </w:rPr>
      </w:pPr>
      <w:r>
        <w:rPr>
          <w:rFonts w:ascii="仿宋" w:hAnsi="仿宋" w:eastAsia="仿宋"/>
          <w:sz w:val="32"/>
          <w:szCs w:val="32"/>
        </w:rPr>
        <w:t>1、评审程序由两阶段组成，包括：</w:t>
      </w:r>
    </w:p>
    <w:p>
      <w:pPr>
        <w:snapToGrid w:val="0"/>
        <w:spacing w:line="640" w:lineRule="atLeast"/>
        <w:ind w:firstLine="640" w:firstLineChars="200"/>
        <w:rPr>
          <w:rFonts w:ascii="仿宋" w:hAnsi="仿宋" w:eastAsia="仿宋"/>
          <w:sz w:val="32"/>
          <w:szCs w:val="32"/>
        </w:rPr>
      </w:pPr>
      <w:r>
        <w:rPr>
          <w:rFonts w:ascii="仿宋" w:hAnsi="仿宋" w:eastAsia="仿宋"/>
          <w:sz w:val="32"/>
          <w:szCs w:val="32"/>
        </w:rPr>
        <w:t>（1）对竞投人综合实力、服务团队及营销方案进行综合评审择优；</w:t>
      </w:r>
    </w:p>
    <w:p>
      <w:pPr>
        <w:snapToGrid w:val="0"/>
        <w:spacing w:line="640" w:lineRule="atLeast"/>
        <w:ind w:firstLine="640" w:firstLineChars="200"/>
        <w:rPr>
          <w:rFonts w:ascii="仿宋" w:hAnsi="仿宋" w:eastAsia="仿宋" w:cs="Times New Roman"/>
          <w:sz w:val="32"/>
          <w:szCs w:val="32"/>
        </w:rPr>
      </w:pPr>
      <w:r>
        <w:rPr>
          <w:rFonts w:ascii="仿宋" w:hAnsi="仿宋" w:eastAsia="仿宋"/>
          <w:sz w:val="32"/>
          <w:szCs w:val="32"/>
        </w:rPr>
        <w:t>（2）对评审排名前3名的入选竞投人进行现场答辩择优。具体如下：</w:t>
      </w:r>
    </w:p>
    <w:p>
      <w:pPr>
        <w:snapToGrid w:val="0"/>
        <w:spacing w:line="640" w:lineRule="atLeast"/>
        <w:ind w:firstLine="640" w:firstLineChars="200"/>
        <w:rPr>
          <w:rFonts w:ascii="仿宋" w:hAnsi="仿宋" w:eastAsia="仿宋" w:cs="Times New Roman"/>
          <w:sz w:val="32"/>
          <w:szCs w:val="32"/>
        </w:rPr>
      </w:pPr>
      <w:r>
        <w:rPr>
          <w:rFonts w:ascii="仿宋" w:hAnsi="仿宋" w:eastAsia="仿宋"/>
          <w:sz w:val="32"/>
          <w:szCs w:val="32"/>
        </w:rPr>
        <w:t>第一阶段：评标委员会根据各竞投人提交的竞投文件进行综合评审（评审标准详见附件3），在充分研讨的基础上进行打分，并按竞投人总得分从高到低进行排序，如竞投人总得分相同的，则按其项目整体营销策划报告得分较高的排前，如仍存在相同情况，则由评标委员会投票确定竞投人的排序。评标委员会按照上述排序原则选取排名前3名的竞投人，进入下一阶段答辩。</w:t>
      </w:r>
    </w:p>
    <w:p>
      <w:pPr>
        <w:snapToGrid w:val="0"/>
        <w:spacing w:line="640" w:lineRule="atLeast"/>
        <w:ind w:firstLine="640" w:firstLineChars="200"/>
        <w:rPr>
          <w:rFonts w:ascii="仿宋" w:hAnsi="仿宋" w:eastAsia="仿宋" w:cs="Times New Roman"/>
          <w:sz w:val="32"/>
          <w:szCs w:val="32"/>
        </w:rPr>
      </w:pPr>
      <w:r>
        <w:rPr>
          <w:rFonts w:ascii="仿宋" w:hAnsi="仿宋" w:eastAsia="仿宋"/>
          <w:sz w:val="32"/>
          <w:szCs w:val="32"/>
        </w:rPr>
        <w:t>第二阶段：排名前3名的竞投人分别向评审委员会以PPT形式进行现场汇报及答辩，汇报时限为</w:t>
      </w:r>
      <w:r>
        <w:rPr>
          <w:rFonts w:hint="eastAsia" w:ascii="仿宋" w:hAnsi="仿宋" w:eastAsia="仿宋"/>
          <w:sz w:val="32"/>
          <w:szCs w:val="32"/>
        </w:rPr>
        <w:t>60</w:t>
      </w:r>
      <w:r>
        <w:rPr>
          <w:rFonts w:ascii="仿宋" w:hAnsi="仿宋" w:eastAsia="仿宋"/>
          <w:sz w:val="32"/>
          <w:szCs w:val="32"/>
        </w:rPr>
        <w:t>分钟</w:t>
      </w:r>
      <w:r>
        <w:rPr>
          <w:rFonts w:hint="eastAsia" w:ascii="仿宋" w:hAnsi="仿宋" w:eastAsia="仿宋"/>
          <w:sz w:val="32"/>
          <w:szCs w:val="32"/>
        </w:rPr>
        <w:t>内</w:t>
      </w:r>
      <w:r>
        <w:rPr>
          <w:rFonts w:ascii="仿宋" w:hAnsi="仿宋" w:eastAsia="仿宋"/>
          <w:sz w:val="32"/>
          <w:szCs w:val="32"/>
        </w:rPr>
        <w:t>，答辩时限为10分钟</w:t>
      </w:r>
      <w:r>
        <w:rPr>
          <w:rFonts w:hint="eastAsia" w:ascii="仿宋" w:hAnsi="仿宋" w:eastAsia="仿宋"/>
          <w:sz w:val="32"/>
          <w:szCs w:val="32"/>
        </w:rPr>
        <w:t>内</w:t>
      </w:r>
      <w:r>
        <w:rPr>
          <w:rFonts w:ascii="仿宋" w:hAnsi="仿宋" w:eastAsia="仿宋"/>
          <w:sz w:val="32"/>
          <w:szCs w:val="32"/>
        </w:rPr>
        <w:t>。汇报应由竞投人服务团队中的项目总负责人完成，汇报顺序采取现场抽签确定。答辩问题由评审委员会现场确定。评标委员会结合各竞投人现场答辩情况，在充分研讨的基础上，对入选竞投人采取差额选举逐轮淘汰的评审办法，以投票方式确定各竞投人的排序，并推荐排名第一至三名的竞投人为中标候选人。</w:t>
      </w:r>
    </w:p>
    <w:p>
      <w:pPr>
        <w:snapToGrid w:val="0"/>
        <w:spacing w:line="640" w:lineRule="atLeast"/>
        <w:ind w:firstLine="640" w:firstLineChars="200"/>
        <w:rPr>
          <w:rFonts w:ascii="仿宋" w:hAnsi="仿宋" w:eastAsia="仿宋" w:cs="Times New Roman"/>
          <w:sz w:val="32"/>
          <w:szCs w:val="32"/>
        </w:rPr>
      </w:pPr>
      <w:r>
        <w:rPr>
          <w:rFonts w:ascii="仿宋" w:hAnsi="仿宋" w:eastAsia="仿宋"/>
          <w:sz w:val="32"/>
          <w:szCs w:val="32"/>
        </w:rPr>
        <w:t>注：若竞投人少于或等于3家的，则全部竞投人直接进入第二阶段答辩环节。</w:t>
      </w:r>
    </w:p>
    <w:p>
      <w:pPr>
        <w:snapToGrid w:val="0"/>
        <w:spacing w:line="640" w:lineRule="atLeast"/>
        <w:ind w:firstLine="640" w:firstLineChars="200"/>
        <w:rPr>
          <w:rFonts w:ascii="仿宋" w:hAnsi="仿宋" w:eastAsia="仿宋" w:cs="Times New Roman"/>
          <w:sz w:val="32"/>
          <w:szCs w:val="32"/>
        </w:rPr>
      </w:pPr>
      <w:r>
        <w:rPr>
          <w:rFonts w:hint="eastAsia" w:ascii="仿宋" w:hAnsi="仿宋" w:eastAsia="仿宋"/>
          <w:sz w:val="32"/>
          <w:szCs w:val="32"/>
        </w:rPr>
        <w:t>2</w:t>
      </w:r>
      <w:r>
        <w:rPr>
          <w:rFonts w:ascii="仿宋" w:hAnsi="仿宋" w:eastAsia="仿宋"/>
          <w:sz w:val="32"/>
          <w:szCs w:val="32"/>
        </w:rPr>
        <w:t>、招标人根据评标委员会递交的评标报告，选定排名第一的中标候选人作为本项目中标人。</w:t>
      </w:r>
    </w:p>
    <w:p>
      <w:pPr>
        <w:snapToGrid w:val="0"/>
        <w:spacing w:line="640" w:lineRule="atLeast"/>
        <w:ind w:firstLine="640" w:firstLineChars="200"/>
        <w:rPr>
          <w:rFonts w:ascii="仿宋" w:hAnsi="仿宋" w:eastAsia="仿宋" w:cs="Times New Roman"/>
          <w:sz w:val="32"/>
          <w:szCs w:val="32"/>
        </w:rPr>
      </w:pPr>
      <w:r>
        <w:rPr>
          <w:rFonts w:hint="eastAsia" w:ascii="仿宋" w:hAnsi="仿宋" w:eastAsia="仿宋"/>
          <w:sz w:val="32"/>
          <w:szCs w:val="32"/>
        </w:rPr>
        <w:t>3</w:t>
      </w:r>
      <w:r>
        <w:rPr>
          <w:rFonts w:ascii="仿宋" w:hAnsi="仿宋" w:eastAsia="仿宋"/>
          <w:sz w:val="32"/>
          <w:szCs w:val="32"/>
        </w:rPr>
        <w:t>、中标人存在以下情况时，招标人将取消其中标资格，并确定排名次后的中标候选人及与其签订委托合同：</w:t>
      </w:r>
    </w:p>
    <w:p>
      <w:pPr>
        <w:snapToGrid w:val="0"/>
        <w:spacing w:line="640" w:lineRule="atLeast"/>
        <w:ind w:firstLine="640" w:firstLineChars="200"/>
        <w:rPr>
          <w:rFonts w:ascii="仿宋" w:hAnsi="仿宋" w:eastAsia="仿宋" w:cs="Times New Roman"/>
          <w:sz w:val="32"/>
          <w:szCs w:val="32"/>
        </w:rPr>
      </w:pPr>
      <w:r>
        <w:rPr>
          <w:rFonts w:ascii="仿宋" w:hAnsi="仿宋" w:eastAsia="仿宋"/>
          <w:sz w:val="32"/>
          <w:szCs w:val="32"/>
        </w:rPr>
        <w:t>（1）中标人主动放弃中标资格的；</w:t>
      </w:r>
    </w:p>
    <w:p>
      <w:pPr>
        <w:snapToGrid w:val="0"/>
        <w:spacing w:line="640" w:lineRule="atLeast"/>
        <w:ind w:firstLine="640" w:firstLineChars="200"/>
        <w:rPr>
          <w:rFonts w:ascii="仿宋" w:hAnsi="仿宋" w:eastAsia="仿宋" w:cs="Times New Roman"/>
          <w:sz w:val="32"/>
          <w:szCs w:val="32"/>
        </w:rPr>
      </w:pPr>
      <w:r>
        <w:rPr>
          <w:rFonts w:ascii="仿宋" w:hAnsi="仿宋" w:eastAsia="仿宋"/>
          <w:sz w:val="32"/>
          <w:szCs w:val="32"/>
        </w:rPr>
        <w:t>（2）中标人因不可抗力提出不能履行合同的；</w:t>
      </w:r>
    </w:p>
    <w:p>
      <w:pPr>
        <w:snapToGrid w:val="0"/>
        <w:spacing w:line="640" w:lineRule="atLeast"/>
        <w:ind w:firstLine="640" w:firstLineChars="200"/>
        <w:rPr>
          <w:rFonts w:ascii="仿宋" w:hAnsi="仿宋" w:eastAsia="仿宋" w:cs="Times New Roman"/>
          <w:sz w:val="32"/>
          <w:szCs w:val="32"/>
        </w:rPr>
      </w:pPr>
      <w:r>
        <w:rPr>
          <w:rFonts w:ascii="仿宋" w:hAnsi="仿宋" w:eastAsia="仿宋"/>
          <w:sz w:val="32"/>
          <w:szCs w:val="32"/>
        </w:rPr>
        <w:t>（3）在招标人发出中标通知之日起计10个工作日内，中标人未按附件4合同条件落实合同签署的；</w:t>
      </w:r>
    </w:p>
    <w:p>
      <w:pPr>
        <w:snapToGrid w:val="0"/>
        <w:spacing w:line="640" w:lineRule="atLeast"/>
        <w:ind w:firstLine="640" w:firstLineChars="200"/>
        <w:rPr>
          <w:rFonts w:ascii="仿宋" w:hAnsi="仿宋" w:eastAsia="仿宋" w:cs="Times New Roman"/>
          <w:sz w:val="32"/>
          <w:szCs w:val="32"/>
        </w:rPr>
      </w:pPr>
      <w:r>
        <w:rPr>
          <w:rFonts w:ascii="仿宋" w:hAnsi="仿宋" w:eastAsia="仿宋"/>
          <w:sz w:val="32"/>
          <w:szCs w:val="32"/>
        </w:rPr>
        <w:t>（4）中标人存在弄虚作假行为、虚报资料情况，并经查实的；</w:t>
      </w:r>
    </w:p>
    <w:p>
      <w:pPr>
        <w:snapToGrid w:val="0"/>
        <w:spacing w:line="640" w:lineRule="atLeast"/>
        <w:ind w:firstLine="640" w:firstLineChars="200"/>
        <w:rPr>
          <w:rFonts w:ascii="仿宋" w:hAnsi="仿宋" w:eastAsia="仿宋" w:cs="Times New Roman"/>
          <w:sz w:val="32"/>
          <w:szCs w:val="32"/>
        </w:rPr>
      </w:pPr>
      <w:r>
        <w:rPr>
          <w:rFonts w:ascii="仿宋" w:hAnsi="仿宋" w:eastAsia="仿宋"/>
          <w:sz w:val="32"/>
          <w:szCs w:val="32"/>
        </w:rPr>
        <w:t>（5）合同履行过程中，招标人按附件4合同条件与中标人解除合同的。</w:t>
      </w:r>
    </w:p>
    <w:p>
      <w:pPr>
        <w:spacing w:line="600" w:lineRule="exact"/>
        <w:ind w:firstLine="643" w:firstLineChars="200"/>
        <w:rPr>
          <w:rFonts w:ascii="仿宋" w:hAnsi="仿宋" w:eastAsia="仿宋" w:cs="Times New Roman"/>
          <w:b/>
          <w:bCs/>
          <w:sz w:val="32"/>
          <w:szCs w:val="32"/>
        </w:rPr>
      </w:pPr>
      <w:r>
        <w:rPr>
          <w:rFonts w:ascii="仿宋" w:hAnsi="仿宋" w:eastAsia="仿宋"/>
          <w:b/>
          <w:bCs/>
          <w:sz w:val="32"/>
          <w:szCs w:val="32"/>
        </w:rPr>
        <w:t>六、招标时间安排</w:t>
      </w:r>
    </w:p>
    <w:p>
      <w:pPr>
        <w:spacing w:line="600" w:lineRule="exact"/>
        <w:ind w:firstLine="640" w:firstLineChars="200"/>
        <w:rPr>
          <w:rFonts w:ascii="仿宋" w:hAnsi="仿宋" w:eastAsia="仿宋" w:cs="Times New Roman"/>
          <w:sz w:val="32"/>
          <w:szCs w:val="32"/>
        </w:rPr>
      </w:pPr>
      <w:r>
        <w:rPr>
          <w:rFonts w:ascii="仿宋" w:hAnsi="仿宋" w:eastAsia="仿宋"/>
          <w:sz w:val="32"/>
          <w:szCs w:val="32"/>
        </w:rPr>
        <w:t>（—）招标答疑：若竞投人对本招标文件有疑问，务必于20</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21</w:t>
      </w:r>
      <w:r>
        <w:rPr>
          <w:rFonts w:ascii="仿宋" w:hAnsi="仿宋" w:eastAsia="仿宋"/>
          <w:sz w:val="32"/>
          <w:szCs w:val="32"/>
          <w:u w:val="single"/>
        </w:rPr>
        <w:t xml:space="preserve"> </w:t>
      </w:r>
      <w:r>
        <w:rPr>
          <w:rFonts w:ascii="仿宋" w:hAnsi="仿宋" w:eastAsia="仿宋"/>
          <w:sz w:val="32"/>
          <w:szCs w:val="32"/>
        </w:rPr>
        <w:t>年</w:t>
      </w:r>
      <w:r>
        <w:rPr>
          <w:rFonts w:hint="eastAsia" w:ascii="仿宋" w:hAnsi="仿宋" w:eastAsia="仿宋"/>
          <w:sz w:val="32"/>
          <w:szCs w:val="32"/>
          <w:lang w:val="en-US" w:eastAsia="zh-CN"/>
        </w:rPr>
        <w:t>1</w:t>
      </w:r>
      <w:r>
        <w:rPr>
          <w:rFonts w:ascii="仿宋" w:hAnsi="仿宋" w:eastAsia="仿宋"/>
          <w:sz w:val="32"/>
          <w:szCs w:val="32"/>
        </w:rPr>
        <w:t xml:space="preserve">月 </w:t>
      </w:r>
      <w:r>
        <w:rPr>
          <w:rFonts w:hint="eastAsia" w:ascii="仿宋" w:hAnsi="仿宋" w:eastAsia="仿宋"/>
          <w:sz w:val="32"/>
          <w:szCs w:val="32"/>
          <w:lang w:val="en-US" w:eastAsia="zh-CN"/>
        </w:rPr>
        <w:t>17</w:t>
      </w:r>
      <w:r>
        <w:rPr>
          <w:rFonts w:ascii="仿宋" w:hAnsi="仿宋" w:eastAsia="仿宋"/>
          <w:sz w:val="32"/>
          <w:szCs w:val="32"/>
        </w:rPr>
        <w:t xml:space="preserve"> 日</w:t>
      </w:r>
      <w:r>
        <w:rPr>
          <w:rFonts w:ascii="仿宋" w:hAnsi="仿宋" w:eastAsia="仿宋"/>
          <w:sz w:val="32"/>
          <w:szCs w:val="32"/>
          <w:u w:val="single"/>
        </w:rPr>
        <w:t>17:00</w:t>
      </w:r>
      <w:r>
        <w:rPr>
          <w:rFonts w:ascii="仿宋" w:hAnsi="仿宋" w:eastAsia="仿宋"/>
          <w:sz w:val="32"/>
          <w:szCs w:val="32"/>
        </w:rPr>
        <w:t>时前以书面形式提交招标代理机构。招标代理机构将在20</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21</w:t>
      </w:r>
      <w:r>
        <w:rPr>
          <w:rFonts w:ascii="仿宋" w:hAnsi="仿宋" w:eastAsia="仿宋"/>
          <w:sz w:val="32"/>
          <w:szCs w:val="32"/>
          <w:u w:val="single"/>
        </w:rPr>
        <w:t xml:space="preserve"> </w:t>
      </w:r>
      <w:r>
        <w:rPr>
          <w:rFonts w:ascii="仿宋" w:hAnsi="仿宋" w:eastAsia="仿宋"/>
          <w:sz w:val="32"/>
          <w:szCs w:val="32"/>
        </w:rPr>
        <w:t>年</w:t>
      </w:r>
      <w:r>
        <w:rPr>
          <w:rFonts w:hint="eastAsia" w:ascii="仿宋" w:hAnsi="仿宋" w:eastAsia="仿宋"/>
          <w:sz w:val="32"/>
          <w:szCs w:val="32"/>
          <w:lang w:val="en-US" w:eastAsia="zh-CN"/>
        </w:rPr>
        <w:t>1</w:t>
      </w:r>
      <w:r>
        <w:rPr>
          <w:rFonts w:ascii="仿宋" w:hAnsi="仿宋" w:eastAsia="仿宋"/>
          <w:sz w:val="32"/>
          <w:szCs w:val="32"/>
        </w:rPr>
        <w:t xml:space="preserve">月 </w:t>
      </w:r>
      <w:r>
        <w:rPr>
          <w:rFonts w:hint="eastAsia" w:ascii="仿宋" w:hAnsi="仿宋" w:eastAsia="仿宋"/>
          <w:sz w:val="32"/>
          <w:szCs w:val="32"/>
          <w:lang w:val="en-US" w:eastAsia="zh-CN"/>
        </w:rPr>
        <w:t>17</w:t>
      </w:r>
      <w:r>
        <w:rPr>
          <w:rFonts w:ascii="仿宋" w:hAnsi="仿宋" w:eastAsia="仿宋"/>
          <w:sz w:val="32"/>
          <w:szCs w:val="32"/>
        </w:rPr>
        <w:t xml:space="preserve"> 日</w:t>
      </w:r>
      <w:r>
        <w:rPr>
          <w:rFonts w:ascii="仿宋" w:hAnsi="仿宋" w:eastAsia="仿宋"/>
          <w:sz w:val="32"/>
          <w:szCs w:val="32"/>
          <w:u w:val="single"/>
        </w:rPr>
        <w:t>17:00</w:t>
      </w:r>
      <w:r>
        <w:rPr>
          <w:rFonts w:ascii="仿宋" w:hAnsi="仿宋" w:eastAsia="仿宋"/>
          <w:sz w:val="32"/>
          <w:szCs w:val="32"/>
        </w:rPr>
        <w:t>时前以书面形式答复给全部竞投人。</w:t>
      </w:r>
      <w:bookmarkStart w:id="0" w:name="_GoBack"/>
      <w:bookmarkEnd w:id="0"/>
      <w:r>
        <w:rPr>
          <w:rFonts w:ascii="仿宋" w:hAnsi="仿宋" w:eastAsia="仿宋"/>
          <w:sz w:val="32"/>
          <w:szCs w:val="32"/>
        </w:rPr>
        <w:t>答疑文件将作为招标文件的一部分，视为签订合同的依据。若答疑文件与招标文件有矛盾，以最后发出的书面文件为准。</w:t>
      </w:r>
    </w:p>
    <w:p>
      <w:pPr>
        <w:spacing w:line="600" w:lineRule="exact"/>
        <w:ind w:firstLine="640" w:firstLineChars="200"/>
        <w:rPr>
          <w:rFonts w:ascii="仿宋" w:hAnsi="仿宋" w:eastAsia="仿宋" w:cs="Times New Roman"/>
          <w:b/>
          <w:bCs/>
          <w:sz w:val="32"/>
          <w:szCs w:val="32"/>
        </w:rPr>
      </w:pPr>
      <w:r>
        <w:rPr>
          <w:rFonts w:ascii="仿宋" w:hAnsi="仿宋" w:eastAsia="仿宋"/>
          <w:sz w:val="32"/>
          <w:szCs w:val="32"/>
        </w:rPr>
        <w:t>（二）开标及评标</w:t>
      </w:r>
    </w:p>
    <w:p>
      <w:pPr>
        <w:spacing w:line="600" w:lineRule="exact"/>
        <w:ind w:left="420" w:leftChars="200"/>
        <w:rPr>
          <w:rFonts w:ascii="仿宋" w:hAnsi="仿宋" w:eastAsia="仿宋" w:cs="Times New Roman"/>
          <w:b/>
          <w:bCs/>
          <w:sz w:val="32"/>
          <w:szCs w:val="32"/>
        </w:rPr>
      </w:pPr>
      <w:r>
        <w:rPr>
          <w:rFonts w:ascii="仿宋" w:hAnsi="仿宋" w:eastAsia="仿宋"/>
          <w:sz w:val="32"/>
          <w:szCs w:val="32"/>
        </w:rPr>
        <w:t>1、竞投文件递交地点及截止时间：各竞投人务必于20</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21</w:t>
      </w: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ascii="仿宋" w:hAnsi="仿宋" w:eastAsia="仿宋"/>
          <w:sz w:val="32"/>
          <w:szCs w:val="32"/>
          <w:u w:val="single"/>
        </w:rPr>
        <w:t xml:space="preserve"> </w:t>
      </w:r>
      <w:r>
        <w:rPr>
          <w:rFonts w:ascii="仿宋" w:hAnsi="仿宋" w:eastAsia="仿宋"/>
          <w:sz w:val="32"/>
          <w:szCs w:val="32"/>
        </w:rPr>
        <w:t>日</w:t>
      </w:r>
      <w:r>
        <w:rPr>
          <w:rFonts w:ascii="仿宋" w:hAnsi="仿宋" w:eastAsia="仿宋"/>
          <w:sz w:val="32"/>
          <w:szCs w:val="32"/>
          <w:u w:val="single"/>
        </w:rPr>
        <w:t>9:00</w:t>
      </w:r>
      <w:r>
        <w:rPr>
          <w:rFonts w:ascii="仿宋" w:hAnsi="仿宋" w:eastAsia="仿宋"/>
          <w:sz w:val="32"/>
          <w:szCs w:val="32"/>
        </w:rPr>
        <w:t>时前将密封完好的竞投文件送至</w:t>
      </w:r>
      <w:r>
        <w:rPr>
          <w:rFonts w:ascii="仿宋" w:hAnsi="仿宋" w:eastAsia="仿宋"/>
          <w:sz w:val="32"/>
          <w:szCs w:val="32"/>
          <w:u w:val="single"/>
        </w:rPr>
        <w:t>广州市天河区黄埔大道西159号富星商贸大厦西塔7楼C单元</w:t>
      </w:r>
      <w:r>
        <w:rPr>
          <w:rFonts w:ascii="仿宋" w:hAnsi="仿宋" w:eastAsia="仿宋"/>
          <w:sz w:val="32"/>
          <w:szCs w:val="32"/>
        </w:rPr>
        <w:t>，逾期视为自动放弃。</w:t>
      </w:r>
    </w:p>
    <w:p>
      <w:pPr>
        <w:spacing w:line="600" w:lineRule="exact"/>
        <w:ind w:firstLine="640" w:firstLineChars="200"/>
        <w:rPr>
          <w:rFonts w:ascii="仿宋" w:hAnsi="仿宋" w:eastAsia="仿宋" w:cs="Times New Roman"/>
          <w:b/>
          <w:bCs/>
          <w:sz w:val="32"/>
          <w:szCs w:val="32"/>
        </w:rPr>
      </w:pPr>
      <w:r>
        <w:rPr>
          <w:rFonts w:ascii="仿宋" w:hAnsi="仿宋" w:eastAsia="仿宋"/>
          <w:sz w:val="32"/>
          <w:szCs w:val="32"/>
        </w:rPr>
        <w:t>2、现场答辩及评审时间及地点：20</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21</w:t>
      </w: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ascii="仿宋" w:hAnsi="仿宋" w:eastAsia="仿宋"/>
          <w:sz w:val="32"/>
          <w:szCs w:val="32"/>
          <w:u w:val="single"/>
        </w:rPr>
        <w:t xml:space="preserve"> </w:t>
      </w:r>
      <w:r>
        <w:rPr>
          <w:rFonts w:ascii="仿宋" w:hAnsi="仿宋" w:eastAsia="仿宋"/>
          <w:sz w:val="32"/>
          <w:szCs w:val="32"/>
        </w:rPr>
        <w:t>日</w:t>
      </w:r>
      <w:r>
        <w:rPr>
          <w:rFonts w:ascii="仿宋" w:hAnsi="仿宋" w:eastAsia="仿宋"/>
          <w:sz w:val="32"/>
          <w:szCs w:val="32"/>
          <w:u w:val="single"/>
        </w:rPr>
        <w:t>9:00</w:t>
      </w:r>
      <w:r>
        <w:rPr>
          <w:rFonts w:ascii="仿宋" w:hAnsi="仿宋" w:eastAsia="仿宋"/>
          <w:sz w:val="32"/>
          <w:szCs w:val="32"/>
        </w:rPr>
        <w:t>时在</w:t>
      </w:r>
      <w:r>
        <w:rPr>
          <w:rFonts w:ascii="仿宋" w:hAnsi="仿宋" w:eastAsia="仿宋"/>
          <w:sz w:val="32"/>
          <w:szCs w:val="32"/>
          <w:u w:val="single"/>
        </w:rPr>
        <w:t>广州市天河区黄埔大道西159号富星商贸大厦西塔7楼C单元</w:t>
      </w:r>
      <w:r>
        <w:rPr>
          <w:rFonts w:ascii="仿宋" w:hAnsi="仿宋" w:eastAsia="仿宋"/>
          <w:sz w:val="32"/>
          <w:szCs w:val="32"/>
        </w:rPr>
        <w:t>进行现场答辩及评审。</w:t>
      </w:r>
    </w:p>
    <w:p>
      <w:pPr>
        <w:spacing w:line="640" w:lineRule="atLeast"/>
        <w:ind w:firstLine="640" w:firstLineChars="200"/>
        <w:rPr>
          <w:rFonts w:ascii="仿宋" w:hAnsi="仿宋" w:eastAsia="仿宋" w:cs="Times New Roman"/>
          <w:sz w:val="32"/>
          <w:szCs w:val="32"/>
        </w:rPr>
      </w:pPr>
      <w:r>
        <w:rPr>
          <w:rFonts w:ascii="仿宋" w:hAnsi="仿宋" w:eastAsia="仿宋"/>
          <w:sz w:val="32"/>
          <w:szCs w:val="32"/>
        </w:rPr>
        <w:t>3、招标人在评审工作完成后5个工作日内通知中标结果（未中标单位，招标人有权不另行通知），并在发出中标通知之日起计10个工作日内，由招标人按本招标文件附件4合同条件及中标人竞投承诺向中标人授予合同。</w:t>
      </w:r>
    </w:p>
    <w:p>
      <w:pPr>
        <w:pStyle w:val="6"/>
        <w:widowControl w:val="0"/>
        <w:kinsoku w:val="0"/>
        <w:overflowPunct w:val="0"/>
        <w:autoSpaceDE w:val="0"/>
        <w:autoSpaceDN w:val="0"/>
        <w:adjustRightInd w:val="0"/>
        <w:snapToGrid w:val="0"/>
        <w:spacing w:before="0" w:beforeAutospacing="0" w:after="0" w:afterAutospacing="0" w:line="640" w:lineRule="atLeast"/>
        <w:rPr>
          <w:rFonts w:ascii="仿宋" w:hAnsi="仿宋" w:eastAsia="仿宋" w:cs="Times New Roman"/>
          <w:kern w:val="2"/>
          <w:sz w:val="32"/>
          <w:szCs w:val="32"/>
        </w:rPr>
      </w:pPr>
      <w:r>
        <w:rPr>
          <w:rFonts w:ascii="仿宋" w:hAnsi="仿宋" w:eastAsia="仿宋" w:cs="Times New Roman"/>
          <w:kern w:val="2"/>
          <w:sz w:val="32"/>
          <w:szCs w:val="32"/>
        </w:rPr>
        <w:t xml:space="preserve"> </w:t>
      </w:r>
    </w:p>
    <w:p>
      <w:pPr>
        <w:pStyle w:val="6"/>
        <w:widowControl w:val="0"/>
        <w:kinsoku w:val="0"/>
        <w:overflowPunct w:val="0"/>
        <w:autoSpaceDE w:val="0"/>
        <w:autoSpaceDN w:val="0"/>
        <w:adjustRightInd w:val="0"/>
        <w:snapToGrid w:val="0"/>
        <w:spacing w:before="0" w:beforeAutospacing="0" w:after="0" w:afterAutospacing="0" w:line="640" w:lineRule="atLeast"/>
        <w:rPr>
          <w:rFonts w:ascii="仿宋" w:hAnsi="仿宋" w:eastAsia="仿宋" w:cs="Times New Roman"/>
          <w:kern w:val="2"/>
          <w:sz w:val="32"/>
          <w:szCs w:val="32"/>
        </w:rPr>
      </w:pPr>
      <w:r>
        <w:rPr>
          <w:rFonts w:ascii="仿宋" w:hAnsi="仿宋" w:eastAsia="仿宋" w:cs="Times New Roman"/>
          <w:kern w:val="2"/>
          <w:sz w:val="32"/>
          <w:szCs w:val="32"/>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附件：</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1.广州市越秀南AD013907地块项目营销代理工作大纲</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cs="Times New Roman"/>
          <w:kern w:val="2"/>
          <w:sz w:val="32"/>
          <w:szCs w:val="32"/>
        </w:rPr>
      </w:pPr>
      <w:r>
        <w:rPr>
          <w:rFonts w:ascii="仿宋" w:hAnsi="仿宋" w:eastAsia="仿宋"/>
          <w:kern w:val="2"/>
          <w:sz w:val="32"/>
          <w:szCs w:val="32"/>
        </w:rPr>
        <w:t>2.《项目整体营销策略报告》要求</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cs="Times New Roman"/>
          <w:kern w:val="2"/>
          <w:sz w:val="32"/>
          <w:szCs w:val="32"/>
        </w:rPr>
      </w:pPr>
      <w:r>
        <w:rPr>
          <w:rFonts w:ascii="仿宋" w:hAnsi="仿宋" w:eastAsia="仿宋"/>
          <w:kern w:val="2"/>
          <w:sz w:val="32"/>
          <w:szCs w:val="32"/>
        </w:rPr>
        <w:t>3.评审标准</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cs="Times New Roman"/>
          <w:kern w:val="2"/>
          <w:sz w:val="32"/>
          <w:szCs w:val="32"/>
        </w:rPr>
      </w:pPr>
      <w:r>
        <w:rPr>
          <w:rFonts w:ascii="仿宋" w:hAnsi="仿宋" w:eastAsia="仿宋"/>
          <w:kern w:val="2"/>
          <w:sz w:val="32"/>
          <w:szCs w:val="32"/>
        </w:rPr>
        <w:t>4.广州市越秀南AD013907地块项目营销代理委托合同</w:t>
      </w:r>
    </w:p>
    <w:p>
      <w:pPr>
        <w:pStyle w:val="6"/>
        <w:widowControl w:val="0"/>
        <w:kinsoku w:val="0"/>
        <w:overflowPunct w:val="0"/>
        <w:autoSpaceDE w:val="0"/>
        <w:autoSpaceDN w:val="0"/>
        <w:adjustRightInd w:val="0"/>
        <w:snapToGrid w:val="0"/>
        <w:spacing w:before="0" w:beforeAutospacing="0" w:after="0" w:afterAutospacing="0" w:line="360" w:lineRule="auto"/>
        <w:ind w:left="1438" w:leftChars="456" w:hanging="480" w:hangingChars="150"/>
        <w:rPr>
          <w:rFonts w:ascii="仿宋" w:hAnsi="仿宋" w:eastAsia="仿宋" w:cs="Times New Roman"/>
          <w:kern w:val="2"/>
          <w:sz w:val="32"/>
          <w:szCs w:val="32"/>
        </w:rPr>
      </w:pPr>
      <w:r>
        <w:rPr>
          <w:rFonts w:ascii="仿宋" w:hAnsi="仿宋" w:eastAsia="仿宋" w:cs="Times New Roman"/>
          <w:kern w:val="2"/>
          <w:sz w:val="32"/>
          <w:szCs w:val="32"/>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ind w:left="1438" w:leftChars="456" w:hanging="480" w:hangingChars="150"/>
        <w:rPr>
          <w:rFonts w:ascii="仿宋" w:hAnsi="仿宋" w:eastAsia="仿宋" w:cs="Times New Roman"/>
          <w:kern w:val="2"/>
          <w:sz w:val="32"/>
          <w:szCs w:val="32"/>
        </w:rPr>
      </w:pPr>
      <w:r>
        <w:rPr>
          <w:rFonts w:ascii="仿宋" w:hAnsi="仿宋" w:eastAsia="仿宋" w:cs="Times New Roman"/>
          <w:kern w:val="2"/>
          <w:sz w:val="32"/>
          <w:szCs w:val="32"/>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ind w:left="1438" w:leftChars="456" w:hanging="480" w:hangingChars="150"/>
        <w:rPr>
          <w:rFonts w:ascii="仿宋" w:hAnsi="仿宋" w:eastAsia="仿宋" w:cs="Times New Roman"/>
          <w:kern w:val="2"/>
          <w:sz w:val="32"/>
          <w:szCs w:val="32"/>
        </w:rPr>
      </w:pPr>
      <w:r>
        <w:rPr>
          <w:rFonts w:ascii="仿宋" w:hAnsi="仿宋" w:eastAsia="仿宋" w:cs="Times New Roman"/>
          <w:kern w:val="2"/>
          <w:sz w:val="32"/>
          <w:szCs w:val="32"/>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 xml:space="preserve"> </w:t>
      </w:r>
    </w:p>
    <w:p>
      <w:pPr>
        <w:rPr>
          <w:rFonts w:ascii="仿宋" w:hAnsi="仿宋" w:eastAsia="仿宋"/>
          <w:sz w:val="32"/>
          <w:szCs w:val="32"/>
        </w:rPr>
      </w:pPr>
      <w:r>
        <w:rPr>
          <w:rFonts w:ascii="仿宋" w:hAnsi="仿宋" w:eastAsia="仿宋"/>
          <w:sz w:val="32"/>
          <w:szCs w:val="32"/>
        </w:rPr>
        <w:br w:type="page"/>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招标人：广州市城悦房地产开发有限公司</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地址：广州市越秀区中山四路228号</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联系人：谢女士</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联系电话：020-83061590</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传真：020-83061916</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招标代理机构：北京中交建设工程咨询有限公司</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地址：广州市天河区黄埔大道西159号富星商贸大厦西塔7楼C单元</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联系人：欧工</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联系电话：020-87575800-808</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传真：020-87575800-823</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kern w:val="2"/>
          <w:sz w:val="32"/>
          <w:szCs w:val="32"/>
        </w:rPr>
      </w:pPr>
      <w:r>
        <w:rPr>
          <w:rFonts w:ascii="仿宋" w:hAnsi="仿宋" w:eastAsia="仿宋"/>
          <w:kern w:val="2"/>
          <w:sz w:val="32"/>
          <w:szCs w:val="32"/>
        </w:rPr>
        <w:t xml:space="preserve"> </w:t>
      </w:r>
    </w:p>
    <w:p>
      <w:pPr>
        <w:rPr>
          <w:rFonts w:ascii="仿宋" w:hAnsi="仿宋" w:eastAsia="仿宋"/>
          <w:b/>
          <w:bCs/>
          <w:sz w:val="44"/>
          <w:szCs w:val="44"/>
        </w:rPr>
      </w:pPr>
      <w:r>
        <w:rPr>
          <w:rFonts w:ascii="仿宋" w:hAnsi="仿宋" w:eastAsia="仿宋"/>
          <w:b/>
          <w:bCs/>
          <w:sz w:val="44"/>
          <w:szCs w:val="44"/>
        </w:rPr>
        <w:t xml:space="preserve"> </w:t>
      </w:r>
    </w:p>
    <w:p>
      <w:pPr>
        <w:rPr>
          <w:rFonts w:ascii="仿宋" w:hAnsi="仿宋" w:eastAsia="仿宋"/>
          <w:sz w:val="28"/>
          <w:szCs w:val="28"/>
        </w:rPr>
      </w:pPr>
      <w:r>
        <w:rPr>
          <w:rFonts w:hint="eastAsia" w:ascii="仿宋" w:hAnsi="仿宋" w:eastAsia="仿宋"/>
          <w:sz w:val="28"/>
          <w:szCs w:val="28"/>
        </w:rPr>
        <w:br w:type="page"/>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cs="Times New Roman"/>
          <w:kern w:val="2"/>
          <w:sz w:val="32"/>
          <w:szCs w:val="32"/>
        </w:rPr>
      </w:pPr>
      <w:r>
        <w:rPr>
          <w:rFonts w:hint="eastAsia" w:ascii="仿宋" w:hAnsi="仿宋" w:eastAsia="仿宋"/>
          <w:sz w:val="28"/>
          <w:szCs w:val="28"/>
        </w:rPr>
        <w:t xml:space="preserve">附件1 </w:t>
      </w:r>
    </w:p>
    <w:p>
      <w:pPr>
        <w:spacing w:line="360" w:lineRule="auto"/>
        <w:contextualSpacing/>
        <w:jc w:val="center"/>
        <w:rPr>
          <w:rFonts w:ascii="仿宋" w:hAnsi="仿宋" w:eastAsia="仿宋" w:cs="Times New Roman"/>
          <w:b/>
          <w:bCs/>
          <w:sz w:val="32"/>
          <w:szCs w:val="32"/>
        </w:rPr>
      </w:pPr>
      <w:r>
        <w:rPr>
          <w:rFonts w:hint="eastAsia" w:ascii="仿宋" w:hAnsi="仿宋" w:eastAsia="仿宋" w:cs="宋体"/>
          <w:b/>
          <w:bCs/>
          <w:sz w:val="32"/>
          <w:szCs w:val="32"/>
        </w:rPr>
        <w:t>广州市越秀南AD013907地块项目营销代理工作大纲</w:t>
      </w:r>
    </w:p>
    <w:p>
      <w:pPr>
        <w:spacing w:line="360" w:lineRule="auto"/>
        <w:contextualSpacing/>
        <w:jc w:val="center"/>
        <w:rPr>
          <w:rFonts w:ascii="仿宋" w:hAnsi="仿宋" w:eastAsia="仿宋" w:cs="Times New Roman"/>
          <w:sz w:val="24"/>
          <w:szCs w:val="24"/>
        </w:rPr>
      </w:pPr>
      <w:r>
        <w:rPr>
          <w:rFonts w:hint="eastAsia" w:ascii="仿宋" w:hAnsi="仿宋" w:eastAsia="仿宋" w:cs="Times New Roman"/>
          <w:sz w:val="24"/>
          <w:szCs w:val="24"/>
        </w:rPr>
        <w:t xml:space="preserve"> </w:t>
      </w:r>
    </w:p>
    <w:p>
      <w:pPr>
        <w:spacing w:line="640" w:lineRule="atLeast"/>
        <w:ind w:firstLine="562" w:firstLineChars="200"/>
        <w:rPr>
          <w:rFonts w:ascii="仿宋" w:hAnsi="仿宋" w:eastAsia="仿宋" w:cs="Times New Roman"/>
          <w:b/>
          <w:bCs/>
          <w:sz w:val="28"/>
          <w:szCs w:val="28"/>
        </w:rPr>
      </w:pPr>
      <w:r>
        <w:rPr>
          <w:rFonts w:ascii="仿宋" w:hAnsi="仿宋" w:eastAsia="仿宋" w:cs="Times New Roman"/>
          <w:b/>
          <w:bCs/>
          <w:sz w:val="28"/>
          <w:szCs w:val="28"/>
        </w:rPr>
        <w:t>（一）项目策划类工作内容：</w:t>
      </w:r>
    </w:p>
    <w:p>
      <w:pPr>
        <w:spacing w:line="640" w:lineRule="atLeast"/>
        <w:ind w:firstLine="645"/>
        <w:rPr>
          <w:rFonts w:ascii="仿宋" w:hAnsi="仿宋" w:eastAsia="仿宋" w:cs="Times New Roman"/>
          <w:sz w:val="28"/>
          <w:szCs w:val="28"/>
        </w:rPr>
      </w:pPr>
      <w:r>
        <w:rPr>
          <w:rFonts w:ascii="仿宋" w:hAnsi="仿宋" w:eastAsia="仿宋" w:cs="Times New Roman"/>
          <w:sz w:val="28"/>
          <w:szCs w:val="28"/>
        </w:rPr>
        <w:t>1、负责撰写项目整体营销策略报告、营销思路深化方案、拟定营销推广建议、项目产品定价报告、收筹和推货策略方案、开盘方案、销售拓展执行方案、目标客户分析、市场周报、月报等。</w:t>
      </w:r>
    </w:p>
    <w:p>
      <w:pPr>
        <w:spacing w:line="640" w:lineRule="atLeast"/>
        <w:ind w:firstLine="645"/>
        <w:rPr>
          <w:rFonts w:ascii="仿宋" w:hAnsi="仿宋" w:eastAsia="仿宋" w:cs="Times New Roman"/>
          <w:sz w:val="28"/>
          <w:szCs w:val="28"/>
        </w:rPr>
      </w:pPr>
      <w:r>
        <w:rPr>
          <w:rFonts w:ascii="仿宋" w:hAnsi="仿宋" w:eastAsia="仿宋" w:cs="Times New Roman"/>
          <w:sz w:val="28"/>
          <w:szCs w:val="28"/>
        </w:rPr>
        <w:t>2、协助确定合作公司（广告、制作、活动公司等）、协助推进广告公司的推广策略和项目形象设计工作：包括案名、项目logo、项目vi、主画面等；协助现场物料设计制作：包括户型图、单张、手提资料袋、伴手礼等；协助开放活动、开盘活动；协助产品发布会宣传、布置、邀约、执行等工作；协助推广：包括跟进微信推文、网络推广、户外、大v、电台、朋友圈等；协助微信推广、小视频发布、项目宣传片等的相关工作。</w:t>
      </w:r>
    </w:p>
    <w:p>
      <w:pPr>
        <w:spacing w:line="640" w:lineRule="atLeast"/>
        <w:ind w:firstLine="645"/>
        <w:rPr>
          <w:rFonts w:ascii="仿宋" w:hAnsi="仿宋" w:eastAsia="仿宋" w:cs="Times New Roman"/>
          <w:sz w:val="28"/>
          <w:szCs w:val="28"/>
        </w:rPr>
      </w:pPr>
      <w:r>
        <w:rPr>
          <w:rFonts w:ascii="仿宋" w:hAnsi="仿宋" w:eastAsia="仿宋" w:cs="Times New Roman"/>
          <w:sz w:val="28"/>
          <w:szCs w:val="28"/>
        </w:rPr>
        <w:t>3、协助提供销售中心、样板房、看楼动线设置及装修包装风格建议；协助提供交楼标准的建议；协助提供园林、示范区的风格建议等。</w:t>
      </w:r>
    </w:p>
    <w:p>
      <w:pPr>
        <w:spacing w:line="640" w:lineRule="atLeast"/>
        <w:ind w:firstLine="645"/>
        <w:rPr>
          <w:rFonts w:ascii="仿宋" w:hAnsi="仿宋" w:eastAsia="仿宋" w:cs="Times New Roman"/>
          <w:sz w:val="28"/>
          <w:szCs w:val="28"/>
        </w:rPr>
      </w:pPr>
      <w:r>
        <w:rPr>
          <w:rFonts w:ascii="仿宋" w:hAnsi="仿宋" w:eastAsia="仿宋" w:cs="Times New Roman"/>
          <w:sz w:val="28"/>
          <w:szCs w:val="28"/>
        </w:rPr>
        <w:t>4、现场包装工作协助：道路指引系统；停车场包装及指引；精神堡垒和保安亭；项目围挡、主入口大门；园林绿化；楼体灯字；营销中心、样板房通道包装等。</w:t>
      </w:r>
    </w:p>
    <w:p>
      <w:pPr>
        <w:spacing w:line="640" w:lineRule="atLeast"/>
        <w:ind w:firstLine="645"/>
        <w:rPr>
          <w:rFonts w:ascii="仿宋" w:hAnsi="仿宋" w:eastAsia="仿宋" w:cs="Times New Roman"/>
          <w:b/>
          <w:bCs/>
          <w:sz w:val="28"/>
          <w:szCs w:val="28"/>
        </w:rPr>
      </w:pPr>
      <w:r>
        <w:rPr>
          <w:rFonts w:ascii="仿宋" w:hAnsi="仿宋" w:eastAsia="仿宋" w:cs="Times New Roman"/>
          <w:b/>
          <w:bCs/>
          <w:sz w:val="28"/>
          <w:szCs w:val="28"/>
        </w:rPr>
        <w:t>（二）项目销售类工作内容：</w:t>
      </w:r>
    </w:p>
    <w:p>
      <w:pPr>
        <w:spacing w:line="640" w:lineRule="atLeast"/>
        <w:ind w:firstLine="645"/>
        <w:rPr>
          <w:rFonts w:ascii="仿宋" w:hAnsi="仿宋" w:eastAsia="仿宋"/>
          <w:sz w:val="28"/>
          <w:szCs w:val="28"/>
        </w:rPr>
      </w:pPr>
      <w:r>
        <w:rPr>
          <w:rFonts w:ascii="仿宋" w:hAnsi="仿宋" w:eastAsia="仿宋"/>
          <w:sz w:val="28"/>
          <w:szCs w:val="28"/>
        </w:rPr>
        <w:t>销售团队组建、客户接待及集中培训、销售说辞、百问百答、抗性口径等；销售接待礼仪等。制定销售流程及组织销售培训、负责销售执行、提出分期推盘建议及售价建议等。</w:t>
      </w:r>
    </w:p>
    <w:p>
      <w:pPr>
        <w:spacing w:line="360" w:lineRule="auto"/>
        <w:contextualSpacing/>
        <w:rPr>
          <w:rFonts w:ascii="仿宋" w:hAnsi="仿宋" w:eastAsia="仿宋" w:cs="宋体"/>
          <w:b/>
          <w:bCs/>
          <w:sz w:val="28"/>
          <w:szCs w:val="28"/>
        </w:rPr>
      </w:pPr>
      <w:r>
        <w:rPr>
          <w:rFonts w:hint="eastAsia" w:ascii="仿宋" w:hAnsi="仿宋" w:eastAsia="仿宋" w:cs="宋体"/>
          <w:b/>
          <w:bCs/>
          <w:sz w:val="28"/>
          <w:szCs w:val="28"/>
        </w:rPr>
        <w:t xml:space="preserve"> </w:t>
      </w:r>
    </w:p>
    <w:p>
      <w:pPr>
        <w:spacing w:line="360" w:lineRule="auto"/>
        <w:contextualSpacing/>
        <w:rPr>
          <w:rFonts w:ascii="仿宋" w:hAnsi="仿宋" w:eastAsia="仿宋" w:cs="宋体"/>
          <w:b/>
          <w:bCs/>
          <w:sz w:val="28"/>
          <w:szCs w:val="28"/>
        </w:rPr>
      </w:pPr>
      <w:r>
        <w:rPr>
          <w:rFonts w:hint="eastAsia" w:ascii="仿宋" w:hAnsi="仿宋" w:eastAsia="仿宋" w:cs="宋体"/>
          <w:b/>
          <w:bCs/>
          <w:sz w:val="28"/>
          <w:szCs w:val="28"/>
        </w:rPr>
        <w:t xml:space="preserve"> </w:t>
      </w:r>
    </w:p>
    <w:p>
      <w:pPr>
        <w:rPr>
          <w:rFonts w:ascii="仿宋" w:hAnsi="仿宋" w:eastAsia="仿宋" w:cs="宋体"/>
          <w:b/>
          <w:bCs/>
          <w:sz w:val="28"/>
          <w:szCs w:val="28"/>
        </w:rPr>
      </w:pPr>
      <w:r>
        <w:rPr>
          <w:rFonts w:hint="eastAsia" w:ascii="仿宋" w:hAnsi="仿宋" w:eastAsia="仿宋" w:cs="宋体"/>
          <w:b/>
          <w:bCs/>
          <w:sz w:val="28"/>
          <w:szCs w:val="28"/>
        </w:rPr>
        <w:br w:type="page"/>
      </w:r>
    </w:p>
    <w:p>
      <w:pPr>
        <w:spacing w:line="360" w:lineRule="auto"/>
        <w:contextualSpacing/>
        <w:rPr>
          <w:rFonts w:ascii="仿宋" w:hAnsi="仿宋" w:eastAsia="仿宋" w:cs="Times New Roman"/>
          <w:b/>
          <w:bCs/>
          <w:sz w:val="28"/>
          <w:szCs w:val="28"/>
        </w:rPr>
      </w:pPr>
      <w:r>
        <w:rPr>
          <w:rFonts w:hint="eastAsia" w:ascii="仿宋" w:hAnsi="仿宋" w:eastAsia="仿宋" w:cs="Times New Roman"/>
          <w:b/>
          <w:bCs/>
          <w:sz w:val="28"/>
          <w:szCs w:val="28"/>
        </w:rPr>
        <w:t>附件2：《项目整体营销策略报告》要求，包含但不限于：</w:t>
      </w:r>
    </w:p>
    <w:p>
      <w:pPr>
        <w:spacing w:line="360" w:lineRule="auto"/>
        <w:contextualSpacing/>
        <w:jc w:val="left"/>
        <w:rPr>
          <w:rFonts w:ascii="仿宋" w:hAnsi="仿宋" w:eastAsia="仿宋" w:cs="Times New Roman"/>
          <w:b/>
          <w:bCs/>
          <w:sz w:val="28"/>
          <w:szCs w:val="28"/>
        </w:rPr>
      </w:pPr>
      <w:r>
        <w:rPr>
          <w:rFonts w:hint="eastAsia" w:ascii="仿宋" w:hAnsi="仿宋" w:eastAsia="仿宋"/>
          <w:b/>
          <w:bCs/>
          <w:sz w:val="28"/>
          <w:szCs w:val="28"/>
        </w:rPr>
        <w:t>第一部分  项目介绍</w:t>
      </w:r>
    </w:p>
    <w:p>
      <w:pPr>
        <w:spacing w:line="360" w:lineRule="auto"/>
        <w:contextualSpacing/>
        <w:rPr>
          <w:rFonts w:ascii="仿宋" w:hAnsi="仿宋" w:eastAsia="仿宋"/>
          <w:sz w:val="28"/>
          <w:szCs w:val="28"/>
        </w:rPr>
      </w:pPr>
      <w:r>
        <w:rPr>
          <w:rFonts w:hint="eastAsia" w:ascii="仿宋" w:hAnsi="仿宋" w:eastAsia="仿宋"/>
          <w:sz w:val="28"/>
          <w:szCs w:val="28"/>
        </w:rPr>
        <w:t>（一）基本情况</w:t>
      </w:r>
    </w:p>
    <w:p>
      <w:pPr>
        <w:spacing w:line="360" w:lineRule="auto"/>
        <w:contextualSpacing/>
        <w:rPr>
          <w:rFonts w:ascii="仿宋" w:hAnsi="仿宋" w:eastAsia="仿宋"/>
          <w:sz w:val="28"/>
          <w:szCs w:val="28"/>
        </w:rPr>
      </w:pPr>
      <w:r>
        <w:rPr>
          <w:rFonts w:hint="eastAsia" w:ascii="仿宋" w:hAnsi="仿宋" w:eastAsia="仿宋"/>
          <w:sz w:val="28"/>
          <w:szCs w:val="28"/>
        </w:rPr>
        <w:t>（二）项目产品解释（户型配比、面积段比等）</w:t>
      </w:r>
    </w:p>
    <w:p>
      <w:pPr>
        <w:spacing w:line="360" w:lineRule="auto"/>
        <w:contextualSpacing/>
        <w:rPr>
          <w:rFonts w:ascii="仿宋" w:hAnsi="仿宋" w:eastAsia="仿宋"/>
          <w:b/>
          <w:bCs/>
          <w:sz w:val="28"/>
          <w:szCs w:val="28"/>
        </w:rPr>
      </w:pPr>
      <w:r>
        <w:rPr>
          <w:rFonts w:hint="eastAsia" w:ascii="仿宋" w:hAnsi="仿宋" w:eastAsia="仿宋"/>
          <w:b/>
          <w:bCs/>
          <w:sz w:val="28"/>
          <w:szCs w:val="28"/>
        </w:rPr>
        <w:t>第二部分  宏观市场分析</w:t>
      </w:r>
    </w:p>
    <w:p>
      <w:pPr>
        <w:spacing w:line="360" w:lineRule="auto"/>
        <w:contextualSpacing/>
        <w:rPr>
          <w:rFonts w:ascii="仿宋" w:hAnsi="仿宋" w:eastAsia="仿宋"/>
          <w:sz w:val="28"/>
          <w:szCs w:val="28"/>
        </w:rPr>
      </w:pPr>
      <w:r>
        <w:rPr>
          <w:rFonts w:hint="eastAsia" w:ascii="仿宋" w:hAnsi="仿宋" w:eastAsia="仿宋"/>
          <w:sz w:val="28"/>
          <w:szCs w:val="28"/>
        </w:rPr>
        <w:t>（一）城市发展走势分析</w:t>
      </w:r>
    </w:p>
    <w:p>
      <w:pPr>
        <w:spacing w:line="360" w:lineRule="auto"/>
        <w:contextualSpacing/>
        <w:rPr>
          <w:rFonts w:ascii="仿宋" w:hAnsi="仿宋" w:eastAsia="仿宋"/>
          <w:sz w:val="28"/>
          <w:szCs w:val="28"/>
        </w:rPr>
      </w:pPr>
      <w:r>
        <w:rPr>
          <w:rFonts w:hint="eastAsia" w:ascii="仿宋" w:hAnsi="仿宋" w:eastAsia="仿宋"/>
          <w:sz w:val="28"/>
          <w:szCs w:val="28"/>
        </w:rPr>
        <w:t>（二）整体市场分析</w:t>
      </w:r>
    </w:p>
    <w:p>
      <w:pPr>
        <w:spacing w:line="360" w:lineRule="auto"/>
        <w:contextualSpacing/>
        <w:rPr>
          <w:rFonts w:ascii="仿宋" w:hAnsi="仿宋" w:eastAsia="仿宋"/>
          <w:sz w:val="28"/>
          <w:szCs w:val="28"/>
        </w:rPr>
      </w:pPr>
      <w:r>
        <w:rPr>
          <w:rFonts w:hint="eastAsia" w:ascii="仿宋" w:hAnsi="仿宋" w:eastAsia="仿宋"/>
          <w:sz w:val="28"/>
          <w:szCs w:val="28"/>
        </w:rPr>
        <w:t>（三）最新房地产政策及走势分析</w:t>
      </w:r>
    </w:p>
    <w:p>
      <w:pPr>
        <w:spacing w:line="360" w:lineRule="auto"/>
        <w:contextualSpacing/>
        <w:rPr>
          <w:rFonts w:ascii="仿宋" w:hAnsi="仿宋" w:eastAsia="仿宋"/>
          <w:sz w:val="28"/>
          <w:szCs w:val="28"/>
        </w:rPr>
      </w:pPr>
      <w:r>
        <w:rPr>
          <w:rFonts w:hint="eastAsia" w:ascii="仿宋" w:hAnsi="仿宋" w:eastAsia="仿宋"/>
          <w:sz w:val="28"/>
          <w:szCs w:val="28"/>
        </w:rPr>
        <w:t>（四）小结</w:t>
      </w:r>
    </w:p>
    <w:p>
      <w:pPr>
        <w:spacing w:line="360" w:lineRule="auto"/>
        <w:contextualSpacing/>
        <w:rPr>
          <w:rFonts w:ascii="仿宋" w:hAnsi="仿宋" w:eastAsia="仿宋"/>
          <w:b/>
          <w:bCs/>
          <w:sz w:val="28"/>
          <w:szCs w:val="28"/>
        </w:rPr>
      </w:pPr>
      <w:r>
        <w:rPr>
          <w:rFonts w:hint="eastAsia" w:ascii="仿宋" w:hAnsi="仿宋" w:eastAsia="仿宋"/>
          <w:b/>
          <w:bCs/>
          <w:sz w:val="28"/>
          <w:szCs w:val="28"/>
        </w:rPr>
        <w:t>第三部分  广州豪宅市场分析</w:t>
      </w:r>
    </w:p>
    <w:p>
      <w:pPr>
        <w:spacing w:line="360" w:lineRule="auto"/>
        <w:contextualSpacing/>
        <w:rPr>
          <w:rFonts w:ascii="仿宋" w:hAnsi="仿宋" w:eastAsia="仿宋"/>
          <w:sz w:val="28"/>
          <w:szCs w:val="28"/>
        </w:rPr>
      </w:pPr>
      <w:r>
        <w:rPr>
          <w:rFonts w:hint="eastAsia" w:ascii="仿宋" w:hAnsi="仿宋" w:eastAsia="仿宋"/>
          <w:sz w:val="28"/>
          <w:szCs w:val="28"/>
        </w:rPr>
        <w:t>（一）广州豪宅市场情况分析</w:t>
      </w:r>
    </w:p>
    <w:p>
      <w:pPr>
        <w:spacing w:line="360" w:lineRule="auto"/>
        <w:contextualSpacing/>
        <w:rPr>
          <w:rFonts w:ascii="仿宋" w:hAnsi="仿宋" w:eastAsia="仿宋"/>
          <w:sz w:val="28"/>
          <w:szCs w:val="28"/>
        </w:rPr>
      </w:pPr>
      <w:r>
        <w:rPr>
          <w:rFonts w:hint="eastAsia" w:ascii="仿宋" w:hAnsi="仿宋" w:eastAsia="仿宋"/>
          <w:sz w:val="28"/>
          <w:szCs w:val="28"/>
        </w:rPr>
        <w:t>（二）豪宅竞争对手分析</w:t>
      </w:r>
    </w:p>
    <w:p>
      <w:pPr>
        <w:spacing w:line="360" w:lineRule="auto"/>
        <w:contextualSpacing/>
        <w:rPr>
          <w:rFonts w:ascii="仿宋" w:hAnsi="仿宋" w:eastAsia="仿宋"/>
          <w:sz w:val="28"/>
          <w:szCs w:val="28"/>
        </w:rPr>
      </w:pPr>
      <w:r>
        <w:rPr>
          <w:rFonts w:hint="eastAsia" w:ascii="仿宋" w:hAnsi="仿宋" w:eastAsia="仿宋"/>
          <w:sz w:val="28"/>
          <w:szCs w:val="28"/>
        </w:rPr>
        <w:t>（三）小结</w:t>
      </w:r>
    </w:p>
    <w:p>
      <w:pPr>
        <w:spacing w:line="360" w:lineRule="auto"/>
        <w:contextualSpacing/>
        <w:rPr>
          <w:rFonts w:ascii="仿宋" w:hAnsi="仿宋" w:eastAsia="仿宋"/>
          <w:b/>
          <w:bCs/>
          <w:sz w:val="28"/>
          <w:szCs w:val="28"/>
        </w:rPr>
      </w:pPr>
      <w:r>
        <w:rPr>
          <w:rFonts w:hint="eastAsia" w:ascii="仿宋" w:hAnsi="仿宋" w:eastAsia="仿宋"/>
          <w:b/>
          <w:bCs/>
          <w:sz w:val="28"/>
          <w:szCs w:val="28"/>
        </w:rPr>
        <w:t>第四部分  区域市场分析</w:t>
      </w:r>
    </w:p>
    <w:p>
      <w:pPr>
        <w:spacing w:line="360" w:lineRule="auto"/>
        <w:contextualSpacing/>
        <w:rPr>
          <w:rFonts w:ascii="仿宋" w:hAnsi="仿宋" w:eastAsia="仿宋"/>
          <w:sz w:val="28"/>
          <w:szCs w:val="28"/>
        </w:rPr>
      </w:pPr>
      <w:r>
        <w:rPr>
          <w:rFonts w:hint="eastAsia" w:ascii="仿宋" w:hAnsi="仿宋" w:eastAsia="仿宋"/>
          <w:sz w:val="28"/>
          <w:szCs w:val="28"/>
        </w:rPr>
        <w:t>（一）越秀区一手市场分析</w:t>
      </w:r>
    </w:p>
    <w:p>
      <w:pPr>
        <w:spacing w:line="360" w:lineRule="auto"/>
        <w:contextualSpacing/>
        <w:rPr>
          <w:rFonts w:ascii="仿宋" w:hAnsi="仿宋" w:eastAsia="仿宋"/>
          <w:sz w:val="28"/>
          <w:szCs w:val="28"/>
        </w:rPr>
      </w:pPr>
      <w:r>
        <w:rPr>
          <w:rFonts w:hint="eastAsia" w:ascii="仿宋" w:hAnsi="仿宋" w:eastAsia="仿宋"/>
          <w:sz w:val="28"/>
          <w:szCs w:val="28"/>
        </w:rPr>
        <w:t>（二）越秀区二手市场分析</w:t>
      </w:r>
    </w:p>
    <w:p>
      <w:pPr>
        <w:spacing w:line="360" w:lineRule="auto"/>
        <w:contextualSpacing/>
        <w:rPr>
          <w:rFonts w:ascii="仿宋" w:hAnsi="仿宋" w:eastAsia="仿宋"/>
          <w:sz w:val="28"/>
          <w:szCs w:val="28"/>
        </w:rPr>
      </w:pPr>
      <w:r>
        <w:rPr>
          <w:rFonts w:hint="eastAsia" w:ascii="仿宋" w:hAnsi="仿宋" w:eastAsia="仿宋"/>
          <w:sz w:val="28"/>
          <w:szCs w:val="28"/>
        </w:rPr>
        <w:t>（三）小结</w:t>
      </w:r>
    </w:p>
    <w:p>
      <w:pPr>
        <w:spacing w:line="360" w:lineRule="auto"/>
        <w:contextualSpacing/>
        <w:rPr>
          <w:rFonts w:ascii="仿宋" w:hAnsi="仿宋" w:eastAsia="仿宋"/>
          <w:b/>
          <w:bCs/>
          <w:sz w:val="28"/>
          <w:szCs w:val="28"/>
        </w:rPr>
      </w:pPr>
      <w:r>
        <w:rPr>
          <w:rFonts w:hint="eastAsia" w:ascii="仿宋" w:hAnsi="仿宋" w:eastAsia="仿宋"/>
          <w:b/>
          <w:bCs/>
          <w:sz w:val="28"/>
          <w:szCs w:val="28"/>
        </w:rPr>
        <w:t>第五部分  目标客户分析</w:t>
      </w:r>
    </w:p>
    <w:p>
      <w:pPr>
        <w:spacing w:line="360" w:lineRule="auto"/>
        <w:contextualSpacing/>
        <w:rPr>
          <w:rFonts w:ascii="仿宋" w:hAnsi="仿宋" w:eastAsia="仿宋"/>
          <w:sz w:val="28"/>
          <w:szCs w:val="28"/>
        </w:rPr>
      </w:pPr>
      <w:r>
        <w:rPr>
          <w:rFonts w:hint="eastAsia" w:ascii="仿宋" w:hAnsi="仿宋" w:eastAsia="仿宋"/>
          <w:sz w:val="28"/>
          <w:szCs w:val="28"/>
        </w:rPr>
        <w:t>（一）竞品项目客户年龄结构、客户区域来源、客户置业目的、客户职业构成、客户购买关注点、客户购买力分析（选取主要区域周边主要竞品）</w:t>
      </w:r>
    </w:p>
    <w:p>
      <w:pPr>
        <w:spacing w:line="360" w:lineRule="auto"/>
        <w:contextualSpacing/>
        <w:rPr>
          <w:rFonts w:ascii="仿宋" w:hAnsi="仿宋" w:eastAsia="仿宋"/>
          <w:sz w:val="28"/>
          <w:szCs w:val="28"/>
        </w:rPr>
      </w:pPr>
      <w:r>
        <w:rPr>
          <w:rFonts w:hint="eastAsia" w:ascii="仿宋" w:hAnsi="仿宋" w:eastAsia="仿宋"/>
          <w:sz w:val="28"/>
          <w:szCs w:val="28"/>
        </w:rPr>
        <w:t>（二）购买客户置业需求与痛点分析</w:t>
      </w:r>
    </w:p>
    <w:p>
      <w:pPr>
        <w:spacing w:line="360" w:lineRule="auto"/>
        <w:contextualSpacing/>
        <w:rPr>
          <w:rFonts w:ascii="仿宋" w:hAnsi="仿宋" w:eastAsia="仿宋"/>
          <w:sz w:val="28"/>
          <w:szCs w:val="28"/>
        </w:rPr>
      </w:pPr>
      <w:r>
        <w:rPr>
          <w:rFonts w:hint="eastAsia" w:ascii="仿宋" w:hAnsi="仿宋" w:eastAsia="仿宋"/>
          <w:sz w:val="28"/>
          <w:szCs w:val="28"/>
        </w:rPr>
        <w:t>（三）意向客户描摹分析</w:t>
      </w:r>
    </w:p>
    <w:p>
      <w:pPr>
        <w:spacing w:line="360" w:lineRule="auto"/>
        <w:contextualSpacing/>
        <w:rPr>
          <w:rFonts w:ascii="仿宋" w:hAnsi="仿宋" w:eastAsia="仿宋"/>
          <w:sz w:val="28"/>
          <w:szCs w:val="28"/>
        </w:rPr>
      </w:pPr>
      <w:r>
        <w:rPr>
          <w:rFonts w:hint="eastAsia" w:ascii="仿宋" w:hAnsi="仿宋" w:eastAsia="仿宋"/>
          <w:sz w:val="28"/>
          <w:szCs w:val="28"/>
        </w:rPr>
        <w:t>（四）得出本案客群</w:t>
      </w:r>
    </w:p>
    <w:p>
      <w:pPr>
        <w:spacing w:line="360" w:lineRule="auto"/>
        <w:contextualSpacing/>
        <w:rPr>
          <w:rFonts w:ascii="仿宋" w:hAnsi="仿宋" w:eastAsia="仿宋"/>
          <w:sz w:val="28"/>
          <w:szCs w:val="28"/>
        </w:rPr>
      </w:pPr>
      <w:r>
        <w:rPr>
          <w:rFonts w:hint="eastAsia" w:ascii="仿宋" w:hAnsi="仿宋" w:eastAsia="仿宋"/>
          <w:sz w:val="28"/>
          <w:szCs w:val="28"/>
        </w:rPr>
        <w:t>（五）客户分析总结</w:t>
      </w:r>
    </w:p>
    <w:p>
      <w:pPr>
        <w:spacing w:line="360" w:lineRule="auto"/>
        <w:contextualSpacing/>
        <w:rPr>
          <w:rFonts w:ascii="仿宋" w:hAnsi="仿宋" w:eastAsia="仿宋"/>
          <w:b/>
          <w:bCs/>
          <w:sz w:val="28"/>
          <w:szCs w:val="28"/>
        </w:rPr>
      </w:pPr>
      <w:r>
        <w:rPr>
          <w:rFonts w:hint="eastAsia" w:ascii="仿宋" w:hAnsi="仿宋" w:eastAsia="仿宋"/>
          <w:b/>
          <w:bCs/>
          <w:sz w:val="28"/>
          <w:szCs w:val="28"/>
        </w:rPr>
        <w:t>第六部分  项目SWOT分析</w:t>
      </w:r>
    </w:p>
    <w:p>
      <w:pPr>
        <w:spacing w:line="360" w:lineRule="auto"/>
        <w:contextualSpacing/>
        <w:rPr>
          <w:rFonts w:ascii="仿宋" w:hAnsi="仿宋" w:eastAsia="仿宋"/>
          <w:sz w:val="28"/>
          <w:szCs w:val="28"/>
        </w:rPr>
      </w:pPr>
      <w:r>
        <w:rPr>
          <w:rFonts w:hint="eastAsia" w:ascii="仿宋" w:hAnsi="仿宋" w:eastAsia="仿宋"/>
          <w:sz w:val="28"/>
          <w:szCs w:val="28"/>
        </w:rPr>
        <w:t>（一）优势</w:t>
      </w:r>
    </w:p>
    <w:p>
      <w:pPr>
        <w:spacing w:line="360" w:lineRule="auto"/>
        <w:contextualSpacing/>
        <w:rPr>
          <w:rFonts w:ascii="仿宋" w:hAnsi="仿宋" w:eastAsia="仿宋"/>
          <w:sz w:val="28"/>
          <w:szCs w:val="28"/>
        </w:rPr>
      </w:pPr>
      <w:r>
        <w:rPr>
          <w:rFonts w:hint="eastAsia" w:ascii="仿宋" w:hAnsi="仿宋" w:eastAsia="仿宋"/>
          <w:sz w:val="28"/>
          <w:szCs w:val="28"/>
        </w:rPr>
        <w:t>（二）劣势</w:t>
      </w:r>
    </w:p>
    <w:p>
      <w:pPr>
        <w:spacing w:line="360" w:lineRule="auto"/>
        <w:contextualSpacing/>
        <w:rPr>
          <w:rFonts w:ascii="仿宋" w:hAnsi="仿宋" w:eastAsia="仿宋"/>
          <w:sz w:val="28"/>
          <w:szCs w:val="28"/>
        </w:rPr>
      </w:pPr>
      <w:r>
        <w:rPr>
          <w:rFonts w:hint="eastAsia" w:ascii="仿宋" w:hAnsi="仿宋" w:eastAsia="仿宋"/>
          <w:sz w:val="28"/>
          <w:szCs w:val="28"/>
        </w:rPr>
        <w:t>（三）机会</w:t>
      </w:r>
    </w:p>
    <w:p>
      <w:pPr>
        <w:spacing w:line="360" w:lineRule="auto"/>
        <w:contextualSpacing/>
        <w:rPr>
          <w:rFonts w:ascii="仿宋" w:hAnsi="仿宋" w:eastAsia="仿宋"/>
          <w:sz w:val="28"/>
          <w:szCs w:val="28"/>
        </w:rPr>
      </w:pPr>
      <w:r>
        <w:rPr>
          <w:rFonts w:hint="eastAsia" w:ascii="仿宋" w:hAnsi="仿宋" w:eastAsia="仿宋"/>
          <w:sz w:val="28"/>
          <w:szCs w:val="28"/>
        </w:rPr>
        <w:t>（四）威胁</w:t>
      </w:r>
    </w:p>
    <w:p>
      <w:pPr>
        <w:spacing w:line="360" w:lineRule="auto"/>
        <w:contextualSpacing/>
        <w:rPr>
          <w:rFonts w:ascii="仿宋" w:hAnsi="仿宋" w:eastAsia="仿宋"/>
          <w:sz w:val="28"/>
          <w:szCs w:val="28"/>
        </w:rPr>
      </w:pPr>
      <w:r>
        <w:rPr>
          <w:rFonts w:hint="eastAsia" w:ascii="仿宋" w:hAnsi="仿宋" w:eastAsia="仿宋"/>
          <w:sz w:val="28"/>
          <w:szCs w:val="28"/>
        </w:rPr>
        <w:t>（五）SWOT策略分析</w:t>
      </w:r>
    </w:p>
    <w:p>
      <w:pPr>
        <w:spacing w:line="360" w:lineRule="auto"/>
        <w:contextualSpacing/>
        <w:rPr>
          <w:rFonts w:ascii="仿宋" w:hAnsi="仿宋" w:eastAsia="仿宋"/>
          <w:sz w:val="28"/>
          <w:szCs w:val="28"/>
        </w:rPr>
      </w:pPr>
      <w:r>
        <w:rPr>
          <w:rFonts w:hint="eastAsia" w:ascii="仿宋" w:hAnsi="仿宋" w:eastAsia="仿宋"/>
          <w:sz w:val="28"/>
          <w:szCs w:val="28"/>
        </w:rPr>
        <w:t>（六）核心价值点提炼</w:t>
      </w:r>
    </w:p>
    <w:p>
      <w:pPr>
        <w:spacing w:line="360" w:lineRule="auto"/>
        <w:contextualSpacing/>
        <w:rPr>
          <w:rFonts w:ascii="仿宋" w:hAnsi="仿宋" w:eastAsia="仿宋"/>
          <w:b/>
          <w:bCs/>
          <w:sz w:val="28"/>
          <w:szCs w:val="28"/>
        </w:rPr>
      </w:pPr>
      <w:r>
        <w:rPr>
          <w:rFonts w:hint="eastAsia" w:ascii="仿宋" w:hAnsi="仿宋" w:eastAsia="仿宋"/>
          <w:b/>
          <w:bCs/>
          <w:sz w:val="28"/>
          <w:szCs w:val="28"/>
        </w:rPr>
        <w:t>第七部分  项目形象定位与推广策略</w:t>
      </w:r>
    </w:p>
    <w:p>
      <w:pPr>
        <w:spacing w:line="360" w:lineRule="auto"/>
        <w:contextualSpacing/>
        <w:rPr>
          <w:rFonts w:ascii="仿宋" w:hAnsi="仿宋" w:eastAsia="仿宋"/>
          <w:sz w:val="28"/>
          <w:szCs w:val="28"/>
        </w:rPr>
      </w:pPr>
      <w:r>
        <w:rPr>
          <w:rFonts w:hint="eastAsia" w:ascii="仿宋" w:hAnsi="仿宋" w:eastAsia="仿宋"/>
          <w:sz w:val="28"/>
          <w:szCs w:val="28"/>
        </w:rPr>
        <w:t>（一）整体形象定位</w:t>
      </w:r>
    </w:p>
    <w:p>
      <w:pPr>
        <w:spacing w:line="360" w:lineRule="auto"/>
        <w:contextualSpacing/>
        <w:rPr>
          <w:rFonts w:ascii="仿宋" w:hAnsi="仿宋" w:eastAsia="仿宋"/>
          <w:sz w:val="28"/>
          <w:szCs w:val="28"/>
        </w:rPr>
      </w:pPr>
      <w:r>
        <w:rPr>
          <w:rFonts w:hint="eastAsia" w:ascii="仿宋" w:hAnsi="仿宋" w:eastAsia="仿宋"/>
          <w:sz w:val="28"/>
          <w:szCs w:val="28"/>
        </w:rPr>
        <w:t>（二）整体对外推广语</w:t>
      </w:r>
    </w:p>
    <w:p>
      <w:pPr>
        <w:spacing w:line="360" w:lineRule="auto"/>
        <w:contextualSpacing/>
        <w:rPr>
          <w:rFonts w:ascii="仿宋" w:hAnsi="仿宋" w:eastAsia="仿宋"/>
          <w:sz w:val="28"/>
          <w:szCs w:val="28"/>
        </w:rPr>
      </w:pPr>
      <w:r>
        <w:rPr>
          <w:rFonts w:hint="eastAsia" w:ascii="仿宋" w:hAnsi="仿宋" w:eastAsia="仿宋"/>
          <w:sz w:val="28"/>
          <w:szCs w:val="28"/>
        </w:rPr>
        <w:t>（三）项目案名演绎</w:t>
      </w:r>
    </w:p>
    <w:p>
      <w:pPr>
        <w:spacing w:line="360" w:lineRule="auto"/>
        <w:contextualSpacing/>
        <w:rPr>
          <w:rFonts w:ascii="仿宋" w:hAnsi="仿宋" w:eastAsia="仿宋"/>
          <w:sz w:val="28"/>
          <w:szCs w:val="28"/>
        </w:rPr>
      </w:pPr>
      <w:r>
        <w:rPr>
          <w:rFonts w:hint="eastAsia" w:ascii="仿宋" w:hAnsi="仿宋" w:eastAsia="仿宋"/>
          <w:sz w:val="28"/>
          <w:szCs w:val="28"/>
        </w:rPr>
        <w:t>（四）整体对外宣传</w:t>
      </w:r>
    </w:p>
    <w:p>
      <w:pPr>
        <w:spacing w:line="360" w:lineRule="auto"/>
        <w:contextualSpacing/>
        <w:rPr>
          <w:rFonts w:ascii="仿宋" w:hAnsi="仿宋" w:eastAsia="仿宋"/>
          <w:sz w:val="28"/>
          <w:szCs w:val="28"/>
        </w:rPr>
      </w:pPr>
      <w:r>
        <w:rPr>
          <w:rFonts w:hint="eastAsia" w:ascii="仿宋" w:hAnsi="仿宋" w:eastAsia="仿宋"/>
          <w:sz w:val="28"/>
          <w:szCs w:val="28"/>
        </w:rPr>
        <w:t>（五）最终项目在市场上达到的效果</w:t>
      </w:r>
    </w:p>
    <w:p>
      <w:pPr>
        <w:spacing w:line="360" w:lineRule="auto"/>
        <w:contextualSpacing/>
        <w:rPr>
          <w:rFonts w:ascii="仿宋" w:hAnsi="仿宋" w:eastAsia="仿宋"/>
          <w:b/>
          <w:bCs/>
          <w:sz w:val="28"/>
          <w:szCs w:val="28"/>
        </w:rPr>
      </w:pPr>
      <w:r>
        <w:rPr>
          <w:rFonts w:hint="eastAsia" w:ascii="仿宋" w:hAnsi="仿宋" w:eastAsia="仿宋"/>
          <w:b/>
          <w:bCs/>
          <w:sz w:val="28"/>
          <w:szCs w:val="28"/>
        </w:rPr>
        <w:t>第八部分  产品打造策略</w:t>
      </w:r>
    </w:p>
    <w:p>
      <w:pPr>
        <w:spacing w:line="360" w:lineRule="auto"/>
        <w:contextualSpacing/>
        <w:rPr>
          <w:rFonts w:ascii="仿宋" w:hAnsi="仿宋" w:eastAsia="仿宋"/>
          <w:sz w:val="28"/>
          <w:szCs w:val="28"/>
        </w:rPr>
      </w:pPr>
      <w:r>
        <w:rPr>
          <w:rFonts w:hint="eastAsia" w:ascii="仿宋" w:hAnsi="仿宋" w:eastAsia="仿宋"/>
          <w:sz w:val="28"/>
          <w:szCs w:val="28"/>
        </w:rPr>
        <w:t>（一）销售动线策略</w:t>
      </w:r>
    </w:p>
    <w:p>
      <w:pPr>
        <w:spacing w:line="360" w:lineRule="auto"/>
        <w:contextualSpacing/>
        <w:rPr>
          <w:rFonts w:ascii="仿宋" w:hAnsi="仿宋" w:eastAsia="仿宋"/>
          <w:sz w:val="28"/>
          <w:szCs w:val="28"/>
        </w:rPr>
      </w:pPr>
      <w:r>
        <w:rPr>
          <w:rFonts w:hint="eastAsia" w:ascii="仿宋" w:hAnsi="仿宋" w:eastAsia="仿宋"/>
          <w:sz w:val="28"/>
          <w:szCs w:val="28"/>
        </w:rPr>
        <w:t>（二）售楼部与会所打造策略</w:t>
      </w:r>
    </w:p>
    <w:p>
      <w:pPr>
        <w:spacing w:line="360" w:lineRule="auto"/>
        <w:contextualSpacing/>
        <w:rPr>
          <w:rFonts w:ascii="仿宋" w:hAnsi="仿宋" w:eastAsia="仿宋"/>
          <w:sz w:val="28"/>
          <w:szCs w:val="28"/>
        </w:rPr>
      </w:pPr>
      <w:r>
        <w:rPr>
          <w:rFonts w:hint="eastAsia" w:ascii="仿宋" w:hAnsi="仿宋" w:eastAsia="仿宋"/>
          <w:sz w:val="28"/>
          <w:szCs w:val="28"/>
        </w:rPr>
        <w:t>（三）板房打造策略</w:t>
      </w:r>
    </w:p>
    <w:p>
      <w:pPr>
        <w:spacing w:line="360" w:lineRule="auto"/>
        <w:contextualSpacing/>
        <w:rPr>
          <w:rFonts w:ascii="仿宋" w:hAnsi="仿宋" w:eastAsia="仿宋"/>
          <w:sz w:val="28"/>
          <w:szCs w:val="28"/>
        </w:rPr>
      </w:pPr>
      <w:r>
        <w:rPr>
          <w:rFonts w:hint="eastAsia" w:ascii="仿宋" w:hAnsi="仿宋" w:eastAsia="仿宋"/>
          <w:sz w:val="28"/>
          <w:szCs w:val="28"/>
        </w:rPr>
        <w:t>（四）交标打造策略</w:t>
      </w:r>
    </w:p>
    <w:p>
      <w:pPr>
        <w:spacing w:line="360" w:lineRule="auto"/>
        <w:contextualSpacing/>
        <w:rPr>
          <w:rFonts w:ascii="仿宋" w:hAnsi="仿宋" w:eastAsia="仿宋"/>
          <w:sz w:val="28"/>
          <w:szCs w:val="28"/>
        </w:rPr>
      </w:pPr>
      <w:r>
        <w:rPr>
          <w:rFonts w:hint="eastAsia" w:ascii="仿宋" w:hAnsi="仿宋" w:eastAsia="仿宋"/>
          <w:sz w:val="28"/>
          <w:szCs w:val="28"/>
        </w:rPr>
        <w:t>（五）项目配套打造策略等等</w:t>
      </w:r>
    </w:p>
    <w:p>
      <w:pPr>
        <w:spacing w:line="360" w:lineRule="auto"/>
        <w:contextualSpacing/>
        <w:rPr>
          <w:rFonts w:ascii="仿宋" w:hAnsi="仿宋" w:eastAsia="仿宋"/>
          <w:b/>
          <w:bCs/>
          <w:sz w:val="28"/>
          <w:szCs w:val="28"/>
        </w:rPr>
      </w:pPr>
      <w:r>
        <w:rPr>
          <w:rFonts w:hint="eastAsia" w:ascii="仿宋" w:hAnsi="仿宋" w:eastAsia="仿宋"/>
          <w:b/>
          <w:bCs/>
          <w:sz w:val="28"/>
          <w:szCs w:val="28"/>
        </w:rPr>
        <w:t>第九部分  前期蓄客与首开推售策略</w:t>
      </w:r>
    </w:p>
    <w:p>
      <w:pPr>
        <w:spacing w:line="360" w:lineRule="auto"/>
        <w:contextualSpacing/>
        <w:rPr>
          <w:rFonts w:ascii="仿宋" w:hAnsi="仿宋" w:eastAsia="仿宋"/>
          <w:sz w:val="28"/>
          <w:szCs w:val="28"/>
        </w:rPr>
      </w:pPr>
      <w:r>
        <w:rPr>
          <w:rFonts w:hint="eastAsia" w:ascii="仿宋" w:hAnsi="仿宋" w:eastAsia="仿宋"/>
          <w:sz w:val="28"/>
          <w:szCs w:val="28"/>
        </w:rPr>
        <w:t>（一）工程节点与营销节点</w:t>
      </w:r>
    </w:p>
    <w:p>
      <w:pPr>
        <w:spacing w:line="360" w:lineRule="auto"/>
        <w:contextualSpacing/>
        <w:rPr>
          <w:rFonts w:ascii="仿宋" w:hAnsi="仿宋" w:eastAsia="仿宋"/>
          <w:sz w:val="28"/>
          <w:szCs w:val="28"/>
        </w:rPr>
      </w:pPr>
      <w:r>
        <w:rPr>
          <w:rFonts w:hint="eastAsia" w:ascii="仿宋" w:hAnsi="仿宋" w:eastAsia="仿宋"/>
          <w:sz w:val="28"/>
          <w:szCs w:val="28"/>
        </w:rPr>
        <w:t>（二）首期开盘时机选择</w:t>
      </w:r>
    </w:p>
    <w:p>
      <w:pPr>
        <w:spacing w:line="360" w:lineRule="auto"/>
        <w:contextualSpacing/>
        <w:rPr>
          <w:rFonts w:ascii="仿宋" w:hAnsi="仿宋" w:eastAsia="仿宋"/>
          <w:sz w:val="28"/>
          <w:szCs w:val="28"/>
        </w:rPr>
      </w:pPr>
      <w:r>
        <w:rPr>
          <w:rFonts w:hint="eastAsia" w:ascii="仿宋" w:hAnsi="仿宋" w:eastAsia="仿宋"/>
          <w:sz w:val="28"/>
          <w:szCs w:val="28"/>
        </w:rPr>
        <w:t>（三）提前蓄客策略</w:t>
      </w:r>
    </w:p>
    <w:p>
      <w:pPr>
        <w:spacing w:line="360" w:lineRule="auto"/>
        <w:contextualSpacing/>
        <w:rPr>
          <w:rFonts w:ascii="仿宋" w:hAnsi="仿宋" w:eastAsia="仿宋"/>
          <w:sz w:val="28"/>
          <w:szCs w:val="28"/>
        </w:rPr>
      </w:pPr>
      <w:r>
        <w:rPr>
          <w:rFonts w:hint="eastAsia" w:ascii="仿宋" w:hAnsi="仿宋" w:eastAsia="仿宋"/>
          <w:sz w:val="28"/>
          <w:szCs w:val="28"/>
        </w:rPr>
        <w:t>（四）首批推出产品建议</w:t>
      </w:r>
    </w:p>
    <w:p>
      <w:pPr>
        <w:spacing w:line="360" w:lineRule="auto"/>
        <w:contextualSpacing/>
        <w:rPr>
          <w:rFonts w:ascii="仿宋" w:hAnsi="仿宋" w:eastAsia="仿宋"/>
          <w:sz w:val="28"/>
          <w:szCs w:val="28"/>
        </w:rPr>
      </w:pPr>
      <w:r>
        <w:rPr>
          <w:rFonts w:hint="eastAsia" w:ascii="仿宋" w:hAnsi="仿宋" w:eastAsia="仿宋"/>
          <w:sz w:val="28"/>
          <w:szCs w:val="28"/>
        </w:rPr>
        <w:t>（五）价格制定原则与区间建议</w:t>
      </w:r>
    </w:p>
    <w:p>
      <w:pPr>
        <w:spacing w:line="360" w:lineRule="auto"/>
        <w:contextualSpacing/>
        <w:rPr>
          <w:rFonts w:ascii="仿宋" w:hAnsi="仿宋" w:eastAsia="仿宋"/>
          <w:sz w:val="28"/>
          <w:szCs w:val="28"/>
        </w:rPr>
      </w:pPr>
      <w:r>
        <w:rPr>
          <w:rFonts w:hint="eastAsia" w:ascii="仿宋" w:hAnsi="仿宋" w:eastAsia="仿宋"/>
          <w:sz w:val="28"/>
          <w:szCs w:val="28"/>
        </w:rPr>
        <w:t>（六）首期销售折扣管理初案</w:t>
      </w:r>
    </w:p>
    <w:p>
      <w:pPr>
        <w:spacing w:line="360" w:lineRule="auto"/>
        <w:contextualSpacing/>
        <w:rPr>
          <w:rFonts w:ascii="仿宋" w:hAnsi="仿宋" w:eastAsia="仿宋"/>
          <w:b/>
          <w:bCs/>
          <w:sz w:val="28"/>
          <w:szCs w:val="28"/>
        </w:rPr>
      </w:pPr>
      <w:r>
        <w:rPr>
          <w:rFonts w:hint="eastAsia" w:ascii="仿宋" w:hAnsi="仿宋" w:eastAsia="仿宋"/>
          <w:sz w:val="28"/>
          <w:szCs w:val="28"/>
        </w:rPr>
        <w:t>（七）销售文件、物料等准备</w:t>
      </w:r>
    </w:p>
    <w:p>
      <w:pPr>
        <w:spacing w:line="360" w:lineRule="auto"/>
        <w:contextualSpacing/>
        <w:rPr>
          <w:rFonts w:ascii="仿宋" w:hAnsi="仿宋" w:eastAsia="仿宋"/>
          <w:b/>
          <w:bCs/>
          <w:sz w:val="28"/>
          <w:szCs w:val="28"/>
        </w:rPr>
      </w:pPr>
      <w:r>
        <w:rPr>
          <w:rFonts w:hint="eastAsia" w:ascii="仿宋" w:hAnsi="仿宋" w:eastAsia="仿宋"/>
          <w:b/>
          <w:bCs/>
          <w:sz w:val="28"/>
          <w:szCs w:val="28"/>
        </w:rPr>
        <w:t>第十部分  推广细案与活动方案</w:t>
      </w:r>
    </w:p>
    <w:p>
      <w:pPr>
        <w:spacing w:line="360" w:lineRule="auto"/>
        <w:contextualSpacing/>
        <w:rPr>
          <w:rFonts w:ascii="仿宋" w:hAnsi="仿宋" w:eastAsia="仿宋"/>
          <w:sz w:val="28"/>
          <w:szCs w:val="28"/>
        </w:rPr>
      </w:pPr>
      <w:r>
        <w:rPr>
          <w:rFonts w:hint="eastAsia" w:ascii="仿宋" w:hAnsi="仿宋" w:eastAsia="仿宋"/>
          <w:sz w:val="28"/>
          <w:szCs w:val="28"/>
        </w:rPr>
        <w:t>（一）总体铺排</w:t>
      </w:r>
    </w:p>
    <w:p>
      <w:pPr>
        <w:spacing w:line="360" w:lineRule="auto"/>
        <w:contextualSpacing/>
        <w:rPr>
          <w:rFonts w:ascii="仿宋" w:hAnsi="仿宋" w:eastAsia="仿宋"/>
          <w:sz w:val="28"/>
          <w:szCs w:val="28"/>
        </w:rPr>
      </w:pPr>
      <w:r>
        <w:rPr>
          <w:rFonts w:hint="eastAsia" w:ascii="仿宋" w:hAnsi="仿宋" w:eastAsia="仿宋"/>
          <w:sz w:val="28"/>
          <w:szCs w:val="28"/>
        </w:rPr>
        <w:t>（二）推广主题策略</w:t>
      </w:r>
    </w:p>
    <w:p>
      <w:pPr>
        <w:spacing w:line="360" w:lineRule="auto"/>
        <w:contextualSpacing/>
        <w:rPr>
          <w:rFonts w:ascii="仿宋" w:hAnsi="仿宋" w:eastAsia="仿宋"/>
          <w:sz w:val="28"/>
          <w:szCs w:val="28"/>
        </w:rPr>
      </w:pPr>
      <w:r>
        <w:rPr>
          <w:rFonts w:hint="eastAsia" w:ascii="仿宋" w:hAnsi="仿宋" w:eastAsia="仿宋"/>
          <w:sz w:val="28"/>
          <w:szCs w:val="28"/>
        </w:rPr>
        <w:t>（三）品牌营销爆破发声</w:t>
      </w:r>
    </w:p>
    <w:p>
      <w:pPr>
        <w:spacing w:line="360" w:lineRule="auto"/>
        <w:contextualSpacing/>
        <w:rPr>
          <w:rFonts w:ascii="仿宋" w:hAnsi="仿宋" w:eastAsia="仿宋"/>
          <w:sz w:val="28"/>
          <w:szCs w:val="28"/>
        </w:rPr>
      </w:pPr>
      <w:r>
        <w:rPr>
          <w:rFonts w:hint="eastAsia" w:ascii="仿宋" w:hAnsi="仿宋" w:eastAsia="仿宋"/>
          <w:sz w:val="28"/>
          <w:szCs w:val="28"/>
        </w:rPr>
        <w:t>（四）首开活动策略建议</w:t>
      </w:r>
    </w:p>
    <w:p>
      <w:pPr>
        <w:spacing w:line="360" w:lineRule="auto"/>
        <w:contextualSpacing/>
        <w:rPr>
          <w:rFonts w:ascii="仿宋" w:hAnsi="仿宋" w:eastAsia="仿宋"/>
          <w:sz w:val="28"/>
          <w:szCs w:val="28"/>
        </w:rPr>
      </w:pPr>
      <w:r>
        <w:rPr>
          <w:rFonts w:hint="eastAsia" w:ascii="仿宋" w:hAnsi="仿宋" w:eastAsia="仿宋"/>
          <w:sz w:val="28"/>
          <w:szCs w:val="28"/>
        </w:rPr>
        <w:t>（五）卖场包装策划</w:t>
      </w:r>
    </w:p>
    <w:p>
      <w:pPr>
        <w:spacing w:line="360" w:lineRule="auto"/>
        <w:contextualSpacing/>
        <w:rPr>
          <w:rFonts w:ascii="仿宋" w:hAnsi="仿宋" w:eastAsia="仿宋"/>
          <w:sz w:val="28"/>
          <w:szCs w:val="28"/>
        </w:rPr>
      </w:pPr>
      <w:r>
        <w:rPr>
          <w:rFonts w:hint="eastAsia" w:ascii="仿宋" w:hAnsi="仿宋" w:eastAsia="仿宋"/>
          <w:sz w:val="28"/>
          <w:szCs w:val="28"/>
        </w:rPr>
        <w:t>（六）行销拓展策划</w:t>
      </w:r>
    </w:p>
    <w:p>
      <w:pPr>
        <w:spacing w:line="360" w:lineRule="auto"/>
        <w:contextualSpacing/>
        <w:rPr>
          <w:rFonts w:ascii="仿宋" w:hAnsi="仿宋" w:eastAsia="仿宋"/>
          <w:b/>
          <w:bCs/>
          <w:sz w:val="28"/>
          <w:szCs w:val="28"/>
        </w:rPr>
      </w:pPr>
      <w:r>
        <w:rPr>
          <w:rFonts w:hint="eastAsia" w:ascii="仿宋" w:hAnsi="仿宋" w:eastAsia="仿宋"/>
          <w:b/>
          <w:bCs/>
          <w:sz w:val="28"/>
          <w:szCs w:val="28"/>
        </w:rPr>
        <w:t>第十一部分  营销费用计划</w:t>
      </w:r>
    </w:p>
    <w:p>
      <w:pPr>
        <w:spacing w:line="360" w:lineRule="auto"/>
        <w:contextualSpacing/>
        <w:rPr>
          <w:rFonts w:ascii="仿宋" w:hAnsi="仿宋" w:eastAsia="仿宋"/>
          <w:sz w:val="28"/>
          <w:szCs w:val="28"/>
        </w:rPr>
      </w:pPr>
      <w:r>
        <w:rPr>
          <w:rFonts w:hint="eastAsia" w:ascii="仿宋" w:hAnsi="仿宋" w:eastAsia="仿宋"/>
          <w:sz w:val="28"/>
          <w:szCs w:val="28"/>
        </w:rPr>
        <w:t>（一）首期销售目标</w:t>
      </w:r>
    </w:p>
    <w:p>
      <w:pPr>
        <w:spacing w:line="360" w:lineRule="auto"/>
        <w:contextualSpacing/>
        <w:rPr>
          <w:rFonts w:ascii="仿宋" w:hAnsi="仿宋" w:eastAsia="仿宋"/>
          <w:sz w:val="28"/>
          <w:szCs w:val="28"/>
        </w:rPr>
      </w:pPr>
      <w:r>
        <w:rPr>
          <w:rFonts w:hint="eastAsia" w:ascii="仿宋" w:hAnsi="仿宋" w:eastAsia="仿宋"/>
          <w:sz w:val="28"/>
          <w:szCs w:val="28"/>
        </w:rPr>
        <w:t>（1）202X年销售目标：X亿</w:t>
      </w:r>
    </w:p>
    <w:p>
      <w:pPr>
        <w:spacing w:line="360" w:lineRule="auto"/>
        <w:contextualSpacing/>
        <w:rPr>
          <w:rFonts w:ascii="仿宋" w:hAnsi="仿宋" w:eastAsia="仿宋"/>
          <w:sz w:val="28"/>
          <w:szCs w:val="28"/>
        </w:rPr>
      </w:pPr>
      <w:r>
        <w:rPr>
          <w:rFonts w:hint="eastAsia" w:ascii="仿宋" w:hAnsi="仿宋" w:eastAsia="仿宋"/>
          <w:sz w:val="28"/>
          <w:szCs w:val="28"/>
        </w:rPr>
        <w:t>（2）销售任务月度分解</w:t>
      </w:r>
    </w:p>
    <w:p>
      <w:pPr>
        <w:spacing w:line="360" w:lineRule="auto"/>
        <w:contextualSpacing/>
        <w:rPr>
          <w:rFonts w:ascii="仿宋" w:hAnsi="仿宋" w:eastAsia="仿宋"/>
          <w:sz w:val="28"/>
          <w:szCs w:val="28"/>
        </w:rPr>
      </w:pPr>
      <w:r>
        <w:rPr>
          <w:rFonts w:hint="eastAsia" w:ascii="仿宋" w:hAnsi="仿宋" w:eastAsia="仿宋"/>
          <w:sz w:val="28"/>
          <w:szCs w:val="28"/>
        </w:rPr>
        <w:t>（二）费用安排计划</w:t>
      </w:r>
    </w:p>
    <w:p>
      <w:pPr>
        <w:spacing w:line="360" w:lineRule="auto"/>
        <w:ind w:firstLine="570"/>
        <w:rPr>
          <w:rFonts w:ascii="仿宋" w:hAnsi="仿宋" w:eastAsia="仿宋" w:cs="Times New Roman"/>
          <w:sz w:val="28"/>
          <w:szCs w:val="28"/>
        </w:rPr>
      </w:pPr>
      <w:r>
        <w:rPr>
          <w:rFonts w:ascii="仿宋" w:hAnsi="仿宋" w:eastAsia="仿宋" w:cs="Times New Roman"/>
          <w:sz w:val="28"/>
          <w:szCs w:val="28"/>
        </w:rPr>
        <w:t xml:space="preserve"> </w:t>
      </w:r>
    </w:p>
    <w:p>
      <w:pPr>
        <w:rPr>
          <w:rFonts w:ascii="仿宋" w:hAnsi="仿宋" w:eastAsia="仿宋" w:cs="Times New Roman"/>
          <w:sz w:val="28"/>
          <w:szCs w:val="28"/>
        </w:rPr>
      </w:pPr>
      <w:r>
        <w:rPr>
          <w:rFonts w:ascii="仿宋" w:hAnsi="仿宋" w:eastAsia="仿宋" w:cs="Times New Roman"/>
          <w:sz w:val="28"/>
          <w:szCs w:val="28"/>
        </w:rPr>
        <w:br w:type="page"/>
      </w:r>
    </w:p>
    <w:p>
      <w:pPr>
        <w:spacing w:line="360" w:lineRule="auto"/>
        <w:jc w:val="left"/>
        <w:rPr>
          <w:rFonts w:ascii="仿宋" w:hAnsi="仿宋" w:eastAsia="仿宋"/>
          <w:sz w:val="28"/>
          <w:szCs w:val="28"/>
        </w:rPr>
      </w:pPr>
      <w:r>
        <w:rPr>
          <w:rFonts w:ascii="仿宋" w:hAnsi="仿宋" w:eastAsia="仿宋"/>
          <w:sz w:val="28"/>
          <w:szCs w:val="28"/>
        </w:rPr>
        <w:t>附件3</w:t>
      </w:r>
    </w:p>
    <w:p>
      <w:pPr>
        <w:pStyle w:val="6"/>
        <w:widowControl w:val="0"/>
        <w:kinsoku w:val="0"/>
        <w:overflowPunct w:val="0"/>
        <w:autoSpaceDE w:val="0"/>
        <w:autoSpaceDN w:val="0"/>
        <w:adjustRightInd w:val="0"/>
        <w:snapToGrid w:val="0"/>
        <w:spacing w:before="0" w:beforeAutospacing="0" w:after="156" w:afterLines="50" w:afterAutospacing="0" w:line="640" w:lineRule="atLeast"/>
        <w:jc w:val="center"/>
        <w:rPr>
          <w:rFonts w:ascii="仿宋" w:hAnsi="仿宋" w:eastAsia="仿宋" w:cs="Times New Roman"/>
          <w:b/>
          <w:bCs/>
          <w:kern w:val="2"/>
          <w:sz w:val="36"/>
          <w:szCs w:val="36"/>
        </w:rPr>
      </w:pPr>
      <w:r>
        <w:rPr>
          <w:rFonts w:ascii="仿宋" w:hAnsi="仿宋" w:eastAsia="仿宋"/>
          <w:b/>
          <w:bCs/>
          <w:kern w:val="2"/>
          <w:sz w:val="36"/>
          <w:szCs w:val="36"/>
        </w:rPr>
        <w:t>评审标准</w:t>
      </w:r>
    </w:p>
    <w:tbl>
      <w:tblPr>
        <w:tblStyle w:val="7"/>
        <w:tblW w:w="9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1063"/>
        <w:gridCol w:w="6804"/>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b/>
                <w:bCs/>
              </w:rPr>
            </w:pPr>
            <w:r>
              <w:rPr>
                <w:rFonts w:ascii="仿宋" w:hAnsi="仿宋" w:eastAsia="仿宋"/>
                <w:b/>
                <w:bCs/>
              </w:rPr>
              <w:t>评审项</w:t>
            </w:r>
          </w:p>
        </w:tc>
        <w:tc>
          <w:tcPr>
            <w:tcW w:w="1063"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Times New Roman"/>
                <w:b/>
                <w:bCs/>
              </w:rPr>
            </w:pPr>
            <w:r>
              <w:rPr>
                <w:rFonts w:ascii="仿宋" w:hAnsi="仿宋" w:eastAsia="仿宋"/>
                <w:b/>
                <w:bCs/>
              </w:rPr>
              <w:t>要点</w:t>
            </w:r>
          </w:p>
        </w:tc>
        <w:tc>
          <w:tcPr>
            <w:tcW w:w="6804"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Times New Roman"/>
                <w:b/>
                <w:bCs/>
              </w:rPr>
            </w:pPr>
            <w:r>
              <w:rPr>
                <w:rFonts w:ascii="仿宋" w:hAnsi="仿宋" w:eastAsia="仿宋"/>
                <w:b/>
                <w:bCs/>
              </w:rPr>
              <w:t>计分原则</w:t>
            </w:r>
          </w:p>
        </w:tc>
        <w:tc>
          <w:tcPr>
            <w:tcW w:w="723"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Times New Roman"/>
                <w:b/>
                <w:bCs/>
              </w:rPr>
            </w:pPr>
            <w:r>
              <w:rPr>
                <w:rFonts w:ascii="仿宋" w:hAnsi="仿宋" w:eastAsia="仿宋"/>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Times New Roman"/>
                <w:b/>
                <w:bCs/>
              </w:rPr>
            </w:pPr>
            <w:r>
              <w:rPr>
                <w:rFonts w:ascii="仿宋" w:hAnsi="仿宋" w:eastAsia="仿宋"/>
                <w:b/>
                <w:bCs/>
              </w:rPr>
              <w:t>公司综合实力</w:t>
            </w:r>
          </w:p>
          <w:p>
            <w:pPr>
              <w:spacing w:line="400" w:lineRule="exact"/>
              <w:jc w:val="center"/>
              <w:rPr>
                <w:rFonts w:ascii="仿宋" w:hAnsi="仿宋" w:eastAsia="仿宋" w:cs="Times New Roman"/>
                <w:b/>
                <w:bCs/>
              </w:rPr>
            </w:pPr>
            <w:r>
              <w:rPr>
                <w:rFonts w:ascii="仿宋" w:hAnsi="仿宋" w:eastAsia="仿宋"/>
                <w:b/>
                <w:bCs/>
              </w:rPr>
              <w:t>（20分）</w:t>
            </w:r>
          </w:p>
        </w:tc>
        <w:tc>
          <w:tcPr>
            <w:tcW w:w="1063"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Times New Roman"/>
                <w:b/>
                <w:bCs/>
              </w:rPr>
            </w:pPr>
          </w:p>
        </w:tc>
        <w:tc>
          <w:tcPr>
            <w:tcW w:w="6804" w:type="dxa"/>
            <w:tcBorders>
              <w:top w:val="single" w:color="auto" w:sz="4" w:space="0"/>
              <w:left w:val="nil"/>
              <w:bottom w:val="single" w:color="auto" w:sz="4" w:space="0"/>
              <w:right w:val="single" w:color="auto" w:sz="4" w:space="0"/>
            </w:tcBorders>
          </w:tcPr>
          <w:p>
            <w:pPr>
              <w:snapToGrid w:val="0"/>
              <w:spacing w:line="400" w:lineRule="exact"/>
              <w:rPr>
                <w:rFonts w:ascii="仿宋" w:hAnsi="仿宋" w:eastAsia="仿宋" w:cs="Times New Roman"/>
              </w:rPr>
            </w:pPr>
            <w:r>
              <w:rPr>
                <w:rFonts w:ascii="仿宋" w:hAnsi="仿宋" w:eastAsia="仿宋"/>
                <w:b/>
                <w:bCs/>
              </w:rPr>
              <w:t>优：</w:t>
            </w:r>
            <w:r>
              <w:rPr>
                <w:rFonts w:ascii="仿宋" w:hAnsi="仿宋" w:eastAsia="仿宋"/>
              </w:rPr>
              <w:t>知名度高，具备丰富的房地产项目营销经验，房地产项目营销业绩突出，得14～20分</w:t>
            </w:r>
          </w:p>
          <w:p>
            <w:pPr>
              <w:snapToGrid w:val="0"/>
              <w:spacing w:line="400" w:lineRule="exact"/>
              <w:rPr>
                <w:rFonts w:ascii="仿宋" w:hAnsi="仿宋" w:eastAsia="仿宋" w:cs="Times New Roman"/>
              </w:rPr>
            </w:pPr>
            <w:r>
              <w:rPr>
                <w:rFonts w:ascii="仿宋" w:hAnsi="仿宋" w:eastAsia="仿宋"/>
                <w:b/>
                <w:bCs/>
              </w:rPr>
              <w:t>中：</w:t>
            </w:r>
            <w:r>
              <w:rPr>
                <w:rFonts w:ascii="仿宋" w:hAnsi="仿宋" w:eastAsia="仿宋"/>
              </w:rPr>
              <w:t>知名度较高，具备较丰富的房地产项目营销经验，房地产项目营销业绩较突出，得7～13分</w:t>
            </w:r>
          </w:p>
          <w:p>
            <w:pPr>
              <w:snapToGrid w:val="0"/>
              <w:spacing w:line="400" w:lineRule="exact"/>
              <w:rPr>
                <w:rFonts w:ascii="仿宋" w:hAnsi="仿宋" w:eastAsia="仿宋" w:cs="Times New Roman"/>
              </w:rPr>
            </w:pPr>
            <w:r>
              <w:rPr>
                <w:rFonts w:ascii="仿宋" w:hAnsi="仿宋" w:eastAsia="仿宋"/>
                <w:b/>
                <w:bCs/>
              </w:rPr>
              <w:t>差：</w:t>
            </w:r>
            <w:r>
              <w:rPr>
                <w:rFonts w:ascii="仿宋" w:hAnsi="仿宋" w:eastAsia="仿宋"/>
              </w:rPr>
              <w:t>知名度不高，房地产项目营销经验不够丰富，房地产项目营销业绩不突出，得0～6分</w:t>
            </w:r>
          </w:p>
        </w:tc>
        <w:tc>
          <w:tcPr>
            <w:tcW w:w="723" w:type="dxa"/>
            <w:tcBorders>
              <w:top w:val="single" w:color="auto" w:sz="4" w:space="0"/>
              <w:left w:val="nil"/>
              <w:bottom w:val="single" w:color="auto" w:sz="4" w:space="0"/>
              <w:right w:val="single" w:color="auto" w:sz="4" w:space="0"/>
            </w:tcBorders>
          </w:tcPr>
          <w:p>
            <w:pPr>
              <w:spacing w:line="40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Times New Roman"/>
                <w:b/>
                <w:bCs/>
              </w:rPr>
            </w:pPr>
            <w:r>
              <w:rPr>
                <w:rFonts w:ascii="仿宋" w:hAnsi="仿宋" w:eastAsia="仿宋"/>
                <w:b/>
                <w:bCs/>
              </w:rPr>
              <w:t>拟投入本项目服务团队</w:t>
            </w:r>
          </w:p>
          <w:p>
            <w:pPr>
              <w:spacing w:line="400" w:lineRule="exact"/>
              <w:jc w:val="center"/>
              <w:rPr>
                <w:rFonts w:ascii="仿宋" w:hAnsi="仿宋" w:eastAsia="仿宋" w:cs="Times New Roman"/>
                <w:b/>
                <w:bCs/>
              </w:rPr>
            </w:pPr>
            <w:r>
              <w:rPr>
                <w:rFonts w:ascii="仿宋" w:hAnsi="仿宋" w:eastAsia="仿宋"/>
                <w:b/>
                <w:bCs/>
              </w:rPr>
              <w:t>（20分）</w:t>
            </w:r>
          </w:p>
        </w:tc>
        <w:tc>
          <w:tcPr>
            <w:tcW w:w="1063"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Times New Roman"/>
                <w:b/>
                <w:bCs/>
              </w:rPr>
            </w:pPr>
          </w:p>
        </w:tc>
        <w:tc>
          <w:tcPr>
            <w:tcW w:w="6804" w:type="dxa"/>
            <w:tcBorders>
              <w:top w:val="single" w:color="auto" w:sz="4" w:space="0"/>
              <w:left w:val="nil"/>
              <w:bottom w:val="single" w:color="auto" w:sz="4" w:space="0"/>
              <w:right w:val="single" w:color="auto" w:sz="4" w:space="0"/>
            </w:tcBorders>
          </w:tcPr>
          <w:p>
            <w:pPr>
              <w:snapToGrid w:val="0"/>
              <w:spacing w:line="400" w:lineRule="exact"/>
              <w:rPr>
                <w:rFonts w:ascii="仿宋" w:hAnsi="仿宋" w:eastAsia="仿宋" w:cs="Times New Roman"/>
                <w:b/>
                <w:bCs/>
              </w:rPr>
            </w:pPr>
            <w:r>
              <w:rPr>
                <w:rFonts w:ascii="仿宋" w:hAnsi="仿宋" w:eastAsia="仿宋"/>
                <w:b/>
                <w:bCs/>
              </w:rPr>
              <w:t>各竞投人之间横向比较：</w:t>
            </w:r>
          </w:p>
          <w:p>
            <w:pPr>
              <w:snapToGrid w:val="0"/>
              <w:spacing w:line="400" w:lineRule="exact"/>
              <w:rPr>
                <w:rFonts w:ascii="仿宋" w:hAnsi="仿宋" w:eastAsia="仿宋" w:cs="Times New Roman"/>
              </w:rPr>
            </w:pPr>
            <w:r>
              <w:rPr>
                <w:rFonts w:ascii="仿宋" w:hAnsi="仿宋" w:eastAsia="仿宋"/>
                <w:b/>
                <w:bCs/>
              </w:rPr>
              <w:t>优：</w:t>
            </w:r>
            <w:r>
              <w:rPr>
                <w:rFonts w:ascii="仿宋" w:hAnsi="仿宋" w:eastAsia="仿宋"/>
              </w:rPr>
              <w:t>项目总负责人、项目经理、各专项负责人及其他服务人员的房地产项目营销资历和经验丰富；团队组建合理、职责分工明确，能充分全面地做好总体统筹、指导、协调、管理工作并提出了有针对性的保障措施，得14～20分</w:t>
            </w:r>
          </w:p>
          <w:p>
            <w:pPr>
              <w:snapToGrid w:val="0"/>
              <w:spacing w:line="400" w:lineRule="exact"/>
              <w:rPr>
                <w:rFonts w:ascii="仿宋" w:hAnsi="仿宋" w:eastAsia="仿宋" w:cs="Times New Roman"/>
              </w:rPr>
            </w:pPr>
            <w:r>
              <w:rPr>
                <w:rFonts w:ascii="仿宋" w:hAnsi="仿宋" w:eastAsia="仿宋"/>
                <w:b/>
                <w:bCs/>
              </w:rPr>
              <w:t>中：</w:t>
            </w:r>
            <w:r>
              <w:rPr>
                <w:rFonts w:ascii="仿宋" w:hAnsi="仿宋" w:eastAsia="仿宋"/>
              </w:rPr>
              <w:t>项目总负责人、项目经理、各专项负责人及其他服务人员的房地产项目营销资历和经验较为丰富；团队组建较合理、职责分工较明确，能较好地做好总体统筹、指导、协调、管理工作并提出了相应保障措施，得7～13分</w:t>
            </w:r>
          </w:p>
          <w:p>
            <w:pPr>
              <w:snapToGrid w:val="0"/>
              <w:spacing w:line="400" w:lineRule="exact"/>
              <w:rPr>
                <w:rFonts w:ascii="仿宋" w:hAnsi="仿宋" w:eastAsia="仿宋" w:cs="Times New Roman"/>
              </w:rPr>
            </w:pPr>
            <w:r>
              <w:rPr>
                <w:rFonts w:ascii="仿宋" w:hAnsi="仿宋" w:eastAsia="仿宋"/>
                <w:b/>
                <w:bCs/>
              </w:rPr>
              <w:t>差：</w:t>
            </w:r>
            <w:r>
              <w:rPr>
                <w:rFonts w:ascii="仿宋" w:hAnsi="仿宋" w:eastAsia="仿宋"/>
              </w:rPr>
              <w:t>项目总负责人、项目经理、各专项负责人及其他服务人员的房地产项目营销资历和经验相对较薄弱或无法满足招标文件关于服务团队的基本需求，团队组建合理性欠缺，不能完全做好总体统筹、指导、协调、管理工作，相应保障措施不到位，得0～6分</w:t>
            </w:r>
          </w:p>
        </w:tc>
        <w:tc>
          <w:tcPr>
            <w:tcW w:w="723" w:type="dxa"/>
            <w:tcBorders>
              <w:top w:val="single" w:color="auto" w:sz="4" w:space="0"/>
              <w:left w:val="nil"/>
              <w:bottom w:val="single" w:color="auto" w:sz="4" w:space="0"/>
              <w:right w:val="single" w:color="auto" w:sz="4" w:space="0"/>
            </w:tcBorders>
          </w:tcPr>
          <w:p>
            <w:pPr>
              <w:spacing w:line="40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b/>
                <w:bCs/>
              </w:rPr>
            </w:pPr>
            <w:r>
              <w:rPr>
                <w:rFonts w:ascii="仿宋" w:hAnsi="仿宋" w:eastAsia="仿宋"/>
                <w:b/>
                <w:bCs/>
              </w:rPr>
              <w:t>服务方案</w:t>
            </w:r>
          </w:p>
          <w:p>
            <w:pPr>
              <w:spacing w:line="400" w:lineRule="exact"/>
              <w:jc w:val="center"/>
              <w:rPr>
                <w:rFonts w:ascii="仿宋" w:hAnsi="仿宋" w:eastAsia="仿宋" w:cs="Times New Roman"/>
                <w:b/>
                <w:bCs/>
              </w:rPr>
            </w:pPr>
            <w:r>
              <w:rPr>
                <w:rFonts w:ascii="仿宋" w:hAnsi="仿宋" w:eastAsia="仿宋"/>
                <w:b/>
                <w:bCs/>
              </w:rPr>
              <w:t>（20分）</w:t>
            </w:r>
          </w:p>
        </w:tc>
        <w:tc>
          <w:tcPr>
            <w:tcW w:w="1063" w:type="dxa"/>
            <w:tcBorders>
              <w:top w:val="single" w:color="auto" w:sz="4" w:space="0"/>
              <w:left w:val="nil"/>
              <w:bottom w:val="single" w:color="auto" w:sz="4" w:space="0"/>
              <w:right w:val="single" w:color="auto" w:sz="4" w:space="0"/>
            </w:tcBorders>
            <w:vAlign w:val="center"/>
          </w:tcPr>
          <w:p>
            <w:pPr>
              <w:snapToGrid w:val="0"/>
              <w:spacing w:line="400" w:lineRule="exact"/>
              <w:rPr>
                <w:rFonts w:ascii="仿宋" w:hAnsi="仿宋" w:eastAsia="仿宋" w:cs="Times New Roman"/>
                <w:b/>
                <w:bCs/>
              </w:rPr>
            </w:pPr>
            <w:r>
              <w:rPr>
                <w:rFonts w:ascii="仿宋" w:hAnsi="仿宋" w:eastAsia="仿宋"/>
                <w:b/>
                <w:bCs/>
              </w:rPr>
              <w:t>服务方案的细化、深化、优化</w:t>
            </w:r>
          </w:p>
          <w:p>
            <w:pPr>
              <w:spacing w:line="400" w:lineRule="exact"/>
              <w:jc w:val="center"/>
              <w:rPr>
                <w:rFonts w:ascii="仿宋" w:hAnsi="仿宋" w:eastAsia="仿宋" w:cs="Times New Roman"/>
                <w:b/>
                <w:bCs/>
              </w:rPr>
            </w:pPr>
          </w:p>
        </w:tc>
        <w:tc>
          <w:tcPr>
            <w:tcW w:w="6804" w:type="dxa"/>
            <w:tcBorders>
              <w:top w:val="single" w:color="auto" w:sz="4" w:space="0"/>
              <w:left w:val="nil"/>
              <w:bottom w:val="single" w:color="auto" w:sz="4" w:space="0"/>
              <w:right w:val="single" w:color="auto" w:sz="4" w:space="0"/>
            </w:tcBorders>
          </w:tcPr>
          <w:p>
            <w:pPr>
              <w:snapToGrid w:val="0"/>
              <w:spacing w:line="400" w:lineRule="exact"/>
              <w:rPr>
                <w:rFonts w:ascii="仿宋" w:hAnsi="仿宋" w:eastAsia="仿宋" w:cs="Times New Roman"/>
              </w:rPr>
            </w:pPr>
            <w:r>
              <w:rPr>
                <w:rFonts w:ascii="仿宋" w:hAnsi="仿宋" w:eastAsia="仿宋"/>
                <w:b/>
                <w:bCs/>
              </w:rPr>
              <w:t>优：</w:t>
            </w:r>
            <w:r>
              <w:rPr>
                <w:rFonts w:ascii="仿宋" w:hAnsi="仿宋" w:eastAsia="仿宋"/>
              </w:rPr>
              <w:t>在满足招标文件附件工作大纲要求的基础上提出了更细化、深化的服务方案，得14～20分</w:t>
            </w:r>
          </w:p>
          <w:p>
            <w:pPr>
              <w:snapToGrid w:val="0"/>
              <w:spacing w:line="400" w:lineRule="exact"/>
              <w:rPr>
                <w:rFonts w:ascii="仿宋" w:hAnsi="仿宋" w:eastAsia="仿宋" w:cs="Times New Roman"/>
              </w:rPr>
            </w:pPr>
            <w:r>
              <w:rPr>
                <w:rFonts w:ascii="仿宋" w:hAnsi="仿宋" w:eastAsia="仿宋"/>
                <w:b/>
                <w:bCs/>
              </w:rPr>
              <w:t>中：</w:t>
            </w:r>
            <w:r>
              <w:rPr>
                <w:rFonts w:ascii="仿宋" w:hAnsi="仿宋" w:eastAsia="仿宋"/>
              </w:rPr>
              <w:t>所开列的服务方案内容及深度满足招标文件附件工作大纲的要求，得7～13分</w:t>
            </w:r>
          </w:p>
          <w:p>
            <w:pPr>
              <w:snapToGrid w:val="0"/>
              <w:spacing w:line="400" w:lineRule="exact"/>
              <w:rPr>
                <w:rFonts w:ascii="仿宋" w:hAnsi="仿宋" w:eastAsia="仿宋" w:cs="Times New Roman"/>
              </w:rPr>
            </w:pPr>
            <w:r>
              <w:rPr>
                <w:rFonts w:ascii="仿宋" w:hAnsi="仿宋" w:eastAsia="仿宋"/>
                <w:b/>
                <w:bCs/>
              </w:rPr>
              <w:t>差：</w:t>
            </w:r>
            <w:r>
              <w:rPr>
                <w:rFonts w:ascii="仿宋" w:hAnsi="仿宋" w:eastAsia="仿宋"/>
              </w:rPr>
              <w:t>所开列的服务方案内容及深度等不能完全满足招标文件附件工作大纲的要求，得0～6分</w:t>
            </w:r>
          </w:p>
        </w:tc>
        <w:tc>
          <w:tcPr>
            <w:tcW w:w="723" w:type="dxa"/>
            <w:tcBorders>
              <w:top w:val="single" w:color="auto" w:sz="4" w:space="0"/>
              <w:left w:val="nil"/>
              <w:bottom w:val="single" w:color="auto" w:sz="4" w:space="0"/>
              <w:right w:val="single" w:color="auto" w:sz="4" w:space="0"/>
            </w:tcBorders>
          </w:tcPr>
          <w:p>
            <w:pPr>
              <w:spacing w:line="40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jc w:val="center"/>
        </w:trPr>
        <w:tc>
          <w:tcPr>
            <w:tcW w:w="1249" w:type="dxa"/>
            <w:vMerge w:val="restart"/>
            <w:tcBorders>
              <w:top w:val="nil"/>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Times New Roman"/>
                <w:b/>
                <w:bCs/>
              </w:rPr>
            </w:pPr>
            <w:r>
              <w:rPr>
                <w:rFonts w:ascii="仿宋" w:hAnsi="仿宋" w:eastAsia="仿宋"/>
                <w:b/>
                <w:bCs/>
              </w:rPr>
              <w:t>整盘营销策划报告</w:t>
            </w:r>
          </w:p>
          <w:p>
            <w:pPr>
              <w:spacing w:line="400" w:lineRule="exact"/>
              <w:jc w:val="center"/>
              <w:rPr>
                <w:rFonts w:ascii="仿宋" w:hAnsi="仿宋" w:eastAsia="仿宋" w:cs="Times New Roman"/>
                <w:b/>
                <w:bCs/>
              </w:rPr>
            </w:pPr>
            <w:r>
              <w:rPr>
                <w:rFonts w:ascii="仿宋" w:hAnsi="仿宋" w:eastAsia="仿宋"/>
                <w:b/>
                <w:bCs/>
              </w:rPr>
              <w:t>（40分）</w:t>
            </w:r>
          </w:p>
        </w:tc>
        <w:tc>
          <w:tcPr>
            <w:tcW w:w="1063" w:type="dxa"/>
            <w:tcBorders>
              <w:top w:val="single" w:color="auto" w:sz="4" w:space="0"/>
              <w:left w:val="nil"/>
              <w:bottom w:val="single" w:color="auto" w:sz="4" w:space="0"/>
              <w:right w:val="single" w:color="auto" w:sz="4" w:space="0"/>
            </w:tcBorders>
            <w:vAlign w:val="center"/>
          </w:tcPr>
          <w:p>
            <w:pPr>
              <w:snapToGrid w:val="0"/>
              <w:spacing w:line="400" w:lineRule="exact"/>
              <w:rPr>
                <w:rFonts w:ascii="仿宋" w:hAnsi="仿宋" w:eastAsia="仿宋" w:cs="Times New Roman"/>
                <w:b/>
                <w:bCs/>
              </w:rPr>
            </w:pPr>
            <w:r>
              <w:rPr>
                <w:rFonts w:ascii="仿宋" w:hAnsi="仿宋" w:eastAsia="仿宋"/>
                <w:b/>
                <w:bCs/>
              </w:rPr>
              <w:t>市场调研、竞争性区域项目分析及项目定位</w:t>
            </w:r>
          </w:p>
          <w:p>
            <w:pPr>
              <w:snapToGrid w:val="0"/>
              <w:spacing w:line="400" w:lineRule="exact"/>
              <w:jc w:val="center"/>
              <w:rPr>
                <w:rFonts w:ascii="仿宋" w:hAnsi="仿宋" w:eastAsia="仿宋" w:cs="Times New Roman"/>
                <w:b/>
                <w:bCs/>
              </w:rPr>
            </w:pPr>
          </w:p>
        </w:tc>
        <w:tc>
          <w:tcPr>
            <w:tcW w:w="6804" w:type="dxa"/>
            <w:tcBorders>
              <w:top w:val="single" w:color="auto" w:sz="4" w:space="0"/>
              <w:left w:val="nil"/>
              <w:bottom w:val="single" w:color="auto" w:sz="4" w:space="0"/>
              <w:right w:val="single" w:color="auto" w:sz="4" w:space="0"/>
            </w:tcBorders>
          </w:tcPr>
          <w:p>
            <w:pPr>
              <w:snapToGrid w:val="0"/>
              <w:spacing w:line="400" w:lineRule="exact"/>
              <w:rPr>
                <w:rFonts w:ascii="仿宋" w:hAnsi="仿宋" w:eastAsia="仿宋" w:cs="Times New Roman"/>
              </w:rPr>
            </w:pPr>
            <w:r>
              <w:rPr>
                <w:rFonts w:ascii="仿宋" w:hAnsi="仿宋" w:eastAsia="仿宋"/>
                <w:b/>
                <w:bCs/>
              </w:rPr>
              <w:t>优：</w:t>
            </w:r>
            <w:r>
              <w:rPr>
                <w:rFonts w:ascii="仿宋" w:hAnsi="仿宋" w:eastAsia="仿宋"/>
              </w:rPr>
              <w:t>市场研究数据详实（有目标客户访谈意见反馈），竞争性区域项目优劣势分析深入，相似案例评析借鉴到位，业态配比建议合理、可行，得10～15分。</w:t>
            </w:r>
          </w:p>
          <w:p>
            <w:pPr>
              <w:snapToGrid w:val="0"/>
              <w:spacing w:line="400" w:lineRule="exact"/>
              <w:rPr>
                <w:rFonts w:ascii="仿宋" w:hAnsi="仿宋" w:eastAsia="仿宋" w:cs="Times New Roman"/>
              </w:rPr>
            </w:pPr>
            <w:r>
              <w:rPr>
                <w:rFonts w:ascii="仿宋" w:hAnsi="仿宋" w:eastAsia="仿宋"/>
                <w:b/>
                <w:bCs/>
              </w:rPr>
              <w:t>中：</w:t>
            </w:r>
            <w:r>
              <w:rPr>
                <w:rFonts w:ascii="仿宋" w:hAnsi="仿宋" w:eastAsia="仿宋"/>
              </w:rPr>
              <w:t>市场研究数据比较详细、竞争性区域项目优劣势分析较到位、相似案例评析借鉴基本到位、业态配比建议基本合理、可行，得7～9分。</w:t>
            </w:r>
          </w:p>
          <w:p>
            <w:pPr>
              <w:snapToGrid w:val="0"/>
              <w:spacing w:line="400" w:lineRule="exact"/>
              <w:rPr>
                <w:rFonts w:ascii="仿宋" w:hAnsi="仿宋" w:eastAsia="仿宋" w:cs="Times New Roman"/>
              </w:rPr>
            </w:pPr>
            <w:r>
              <w:rPr>
                <w:rFonts w:ascii="仿宋" w:hAnsi="仿宋" w:eastAsia="仿宋"/>
                <w:b/>
                <w:bCs/>
              </w:rPr>
              <w:t>差：</w:t>
            </w:r>
            <w:r>
              <w:rPr>
                <w:rFonts w:ascii="仿宋" w:hAnsi="仿宋" w:eastAsia="仿宋"/>
              </w:rPr>
              <w:t>市场研究数据相对粗略、竞争性区域及优劣势分析依据不充分、相似案例评析的借鉴不到位、业态配比建议合理性欠缺，得0～6分。</w:t>
            </w:r>
          </w:p>
        </w:tc>
        <w:tc>
          <w:tcPr>
            <w:tcW w:w="723" w:type="dxa"/>
            <w:tcBorders>
              <w:top w:val="single" w:color="auto" w:sz="4" w:space="0"/>
              <w:left w:val="nil"/>
              <w:bottom w:val="single" w:color="auto" w:sz="4" w:space="0"/>
              <w:right w:val="single" w:color="auto" w:sz="4" w:space="0"/>
            </w:tcBorders>
          </w:tcPr>
          <w:p>
            <w:pPr>
              <w:spacing w:line="40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b/>
                <w:bCs/>
              </w:rPr>
            </w:pPr>
          </w:p>
        </w:tc>
        <w:tc>
          <w:tcPr>
            <w:tcW w:w="106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b/>
                <w:bCs/>
              </w:rPr>
            </w:pPr>
            <w:r>
              <w:rPr>
                <w:rFonts w:ascii="仿宋" w:hAnsi="仿宋" w:eastAsia="仿宋"/>
                <w:b/>
                <w:bCs/>
              </w:rPr>
              <w:t>营销策略：</w:t>
            </w:r>
          </w:p>
        </w:tc>
        <w:tc>
          <w:tcPr>
            <w:tcW w:w="6804" w:type="dxa"/>
            <w:tcBorders>
              <w:top w:val="single" w:color="auto" w:sz="4" w:space="0"/>
              <w:left w:val="nil"/>
              <w:bottom w:val="single" w:color="auto" w:sz="4" w:space="0"/>
              <w:right w:val="single" w:color="auto" w:sz="4" w:space="0"/>
            </w:tcBorders>
          </w:tcPr>
          <w:p>
            <w:pPr>
              <w:snapToGrid w:val="0"/>
              <w:spacing w:line="400" w:lineRule="exact"/>
              <w:rPr>
                <w:rFonts w:ascii="仿宋" w:hAnsi="仿宋" w:eastAsia="仿宋"/>
                <w:b/>
                <w:bCs/>
              </w:rPr>
            </w:pPr>
            <w:r>
              <w:rPr>
                <w:rFonts w:ascii="仿宋" w:hAnsi="仿宋" w:eastAsia="仿宋"/>
                <w:b/>
                <w:bCs/>
              </w:rPr>
              <w:t>优：</w:t>
            </w:r>
            <w:r>
              <w:rPr>
                <w:rFonts w:ascii="仿宋" w:hAnsi="仿宋" w:eastAsia="仿宋"/>
              </w:rPr>
              <w:t>营销主题鲜明、定位合理、营销推广建议合理可行，得7～10分。</w:t>
            </w:r>
          </w:p>
          <w:p>
            <w:pPr>
              <w:snapToGrid w:val="0"/>
              <w:spacing w:line="400" w:lineRule="exact"/>
              <w:rPr>
                <w:rFonts w:ascii="仿宋" w:hAnsi="仿宋" w:eastAsia="仿宋"/>
                <w:b/>
                <w:bCs/>
              </w:rPr>
            </w:pPr>
            <w:r>
              <w:rPr>
                <w:rFonts w:ascii="仿宋" w:hAnsi="仿宋" w:eastAsia="仿宋"/>
                <w:b/>
                <w:bCs/>
              </w:rPr>
              <w:t>中：</w:t>
            </w:r>
            <w:r>
              <w:rPr>
                <w:rFonts w:ascii="仿宋" w:hAnsi="仿宋" w:eastAsia="仿宋"/>
              </w:rPr>
              <w:t>营销主题鲜明、定位合理、营销推广建议较合理可行，得5～</w:t>
            </w:r>
            <w:r>
              <w:rPr>
                <w:rFonts w:hint="eastAsia" w:ascii="仿宋" w:hAnsi="仿宋" w:eastAsia="仿宋"/>
              </w:rPr>
              <w:t>6</w:t>
            </w:r>
            <w:r>
              <w:rPr>
                <w:rFonts w:ascii="仿宋" w:hAnsi="仿宋" w:eastAsia="仿宋"/>
              </w:rPr>
              <w:t>分。</w:t>
            </w:r>
          </w:p>
          <w:p>
            <w:pPr>
              <w:snapToGrid w:val="0"/>
              <w:spacing w:line="400" w:lineRule="exact"/>
              <w:rPr>
                <w:rFonts w:ascii="仿宋" w:hAnsi="仿宋" w:eastAsia="仿宋"/>
                <w:b/>
                <w:bCs/>
              </w:rPr>
            </w:pPr>
            <w:r>
              <w:rPr>
                <w:rFonts w:ascii="仿宋" w:hAnsi="仿宋" w:eastAsia="仿宋"/>
                <w:b/>
                <w:bCs/>
              </w:rPr>
              <w:t>差：</w:t>
            </w:r>
            <w:r>
              <w:rPr>
                <w:rFonts w:ascii="仿宋" w:hAnsi="仿宋" w:eastAsia="仿宋"/>
              </w:rPr>
              <w:t>营销定位研判不到位，营销主题不鲜明，营销推广建议可行性欠缺，得0～</w:t>
            </w:r>
            <w:r>
              <w:rPr>
                <w:rFonts w:hint="eastAsia" w:ascii="仿宋" w:hAnsi="仿宋" w:eastAsia="仿宋"/>
              </w:rPr>
              <w:t>4</w:t>
            </w:r>
            <w:r>
              <w:rPr>
                <w:rFonts w:ascii="仿宋" w:hAnsi="仿宋" w:eastAsia="仿宋"/>
              </w:rPr>
              <w:t>分</w:t>
            </w:r>
            <w:r>
              <w:rPr>
                <w:rFonts w:ascii="仿宋" w:hAnsi="仿宋" w:eastAsia="仿宋"/>
                <w:b/>
                <w:bCs/>
              </w:rPr>
              <w:t>。</w:t>
            </w:r>
          </w:p>
        </w:tc>
        <w:tc>
          <w:tcPr>
            <w:tcW w:w="723" w:type="dxa"/>
            <w:tcBorders>
              <w:top w:val="single" w:color="auto" w:sz="4" w:space="0"/>
              <w:left w:val="nil"/>
              <w:bottom w:val="single" w:color="auto" w:sz="4" w:space="0"/>
              <w:right w:val="single" w:color="auto" w:sz="4" w:space="0"/>
            </w:tcBorders>
          </w:tcPr>
          <w:p>
            <w:pPr>
              <w:spacing w:line="40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b/>
                <w:bCs/>
              </w:rPr>
            </w:pPr>
          </w:p>
        </w:tc>
        <w:tc>
          <w:tcPr>
            <w:tcW w:w="1063" w:type="dxa"/>
            <w:tcBorders>
              <w:top w:val="single" w:color="auto" w:sz="4" w:space="0"/>
              <w:left w:val="nil"/>
              <w:bottom w:val="single" w:color="auto" w:sz="4" w:space="0"/>
              <w:right w:val="single" w:color="auto" w:sz="4" w:space="0"/>
            </w:tcBorders>
            <w:vAlign w:val="center"/>
          </w:tcPr>
          <w:p>
            <w:pPr>
              <w:snapToGrid w:val="0"/>
              <w:spacing w:line="400" w:lineRule="exact"/>
              <w:rPr>
                <w:rFonts w:ascii="仿宋" w:hAnsi="仿宋" w:eastAsia="仿宋" w:cs="Times New Roman"/>
                <w:b/>
                <w:bCs/>
              </w:rPr>
            </w:pPr>
            <w:r>
              <w:rPr>
                <w:rFonts w:ascii="仿宋" w:hAnsi="仿宋" w:eastAsia="仿宋"/>
                <w:b/>
                <w:bCs/>
              </w:rPr>
              <w:t>销售目标完成时限及相应措施：</w:t>
            </w:r>
          </w:p>
          <w:p>
            <w:pPr>
              <w:snapToGrid w:val="0"/>
              <w:spacing w:line="400" w:lineRule="exact"/>
              <w:jc w:val="center"/>
              <w:rPr>
                <w:rFonts w:ascii="仿宋" w:hAnsi="仿宋" w:eastAsia="仿宋" w:cs="Times New Roman"/>
                <w:b/>
                <w:bCs/>
              </w:rPr>
            </w:pPr>
          </w:p>
        </w:tc>
        <w:tc>
          <w:tcPr>
            <w:tcW w:w="6804" w:type="dxa"/>
            <w:tcBorders>
              <w:top w:val="single" w:color="auto" w:sz="4" w:space="0"/>
              <w:left w:val="nil"/>
              <w:bottom w:val="single" w:color="auto" w:sz="4" w:space="0"/>
              <w:right w:val="single" w:color="auto" w:sz="4" w:space="0"/>
            </w:tcBorders>
          </w:tcPr>
          <w:p>
            <w:pPr>
              <w:snapToGrid w:val="0"/>
              <w:spacing w:line="400" w:lineRule="exact"/>
              <w:rPr>
                <w:rFonts w:ascii="仿宋" w:hAnsi="仿宋" w:eastAsia="仿宋" w:cs="Times New Roman"/>
              </w:rPr>
            </w:pPr>
            <w:r>
              <w:rPr>
                <w:rFonts w:ascii="仿宋" w:hAnsi="仿宋" w:eastAsia="仿宋"/>
                <w:b/>
                <w:bCs/>
              </w:rPr>
              <w:t>优：</w:t>
            </w:r>
            <w:r>
              <w:rPr>
                <w:rFonts w:ascii="仿宋" w:hAnsi="仿宋" w:eastAsia="仿宋"/>
              </w:rPr>
              <w:t>销售计划优于招标文件要求的销售进度目标，销控措施到位，就本项目营销重点难点分析到位，且提出了有针对性的价格策略及落地保障措施，措施具体、合理、可行，得10～15分</w:t>
            </w:r>
          </w:p>
          <w:p>
            <w:pPr>
              <w:snapToGrid w:val="0"/>
              <w:spacing w:line="400" w:lineRule="exact"/>
              <w:rPr>
                <w:rFonts w:ascii="仿宋" w:hAnsi="仿宋" w:eastAsia="仿宋" w:cs="Times New Roman"/>
              </w:rPr>
            </w:pPr>
            <w:r>
              <w:rPr>
                <w:rFonts w:ascii="仿宋" w:hAnsi="仿宋" w:eastAsia="仿宋"/>
                <w:b/>
                <w:bCs/>
              </w:rPr>
              <w:t>中：</w:t>
            </w:r>
            <w:r>
              <w:rPr>
                <w:rFonts w:ascii="仿宋" w:hAnsi="仿宋" w:eastAsia="仿宋"/>
              </w:rPr>
              <w:t>销售计划满足招标文件要求的销售进度目标，销控措施较到位，就本项目营销重点难点有一定认识，且提出了相应价格策略及落地保障措施，措施较具合理、可行，得6～10分</w:t>
            </w:r>
          </w:p>
          <w:p>
            <w:pPr>
              <w:spacing w:line="400" w:lineRule="exact"/>
              <w:rPr>
                <w:rFonts w:ascii="仿宋" w:hAnsi="仿宋" w:eastAsia="仿宋" w:cs="Times New Roman"/>
              </w:rPr>
            </w:pPr>
            <w:r>
              <w:rPr>
                <w:rFonts w:ascii="仿宋" w:hAnsi="仿宋" w:eastAsia="仿宋"/>
                <w:b/>
                <w:bCs/>
              </w:rPr>
              <w:t>差：</w:t>
            </w:r>
            <w:r>
              <w:rPr>
                <w:rFonts w:ascii="仿宋" w:hAnsi="仿宋" w:eastAsia="仿宋"/>
              </w:rPr>
              <w:t>销售计划未能完全满足招标文件要求的销售进度目标，销控措施不到位，就本项目营销重点难点分析不到位，未提出相应价格策略及落地保障措施，措施不具体、可行性欠缺，得0～5分</w:t>
            </w:r>
          </w:p>
        </w:tc>
        <w:tc>
          <w:tcPr>
            <w:tcW w:w="723" w:type="dxa"/>
            <w:tcBorders>
              <w:top w:val="single" w:color="auto" w:sz="4" w:space="0"/>
              <w:left w:val="nil"/>
              <w:bottom w:val="single" w:color="auto" w:sz="4" w:space="0"/>
              <w:right w:val="single" w:color="auto" w:sz="4" w:space="0"/>
            </w:tcBorders>
          </w:tcPr>
          <w:p>
            <w:pPr>
              <w:spacing w:line="400" w:lineRule="exact"/>
              <w:rPr>
                <w:rFonts w:ascii="仿宋" w:hAnsi="仿宋" w:eastAsia="仿宋" w:cs="Times New Roman"/>
              </w:rPr>
            </w:pPr>
          </w:p>
        </w:tc>
      </w:tr>
    </w:tbl>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 xml:space="preserve"> </w:t>
      </w: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sz w:val="28"/>
          <w:szCs w:val="28"/>
        </w:rPr>
      </w:pPr>
    </w:p>
    <w:p>
      <w:pPr>
        <w:pStyle w:val="6"/>
        <w:widowControl w:val="0"/>
        <w:kinsoku w:val="0"/>
        <w:overflowPunct w:val="0"/>
        <w:autoSpaceDE w:val="0"/>
        <w:autoSpaceDN w:val="0"/>
        <w:adjustRightInd w:val="0"/>
        <w:snapToGrid w:val="0"/>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附件:4</w:t>
      </w:r>
    </w:p>
    <w:p>
      <w:pPr>
        <w:spacing w:line="360" w:lineRule="auto"/>
        <w:jc w:val="center"/>
        <w:rPr>
          <w:rFonts w:ascii="仿宋" w:hAnsi="仿宋" w:eastAsia="仿宋"/>
          <w:b/>
          <w:bCs/>
          <w:sz w:val="32"/>
          <w:szCs w:val="32"/>
        </w:rPr>
      </w:pPr>
      <w:r>
        <w:rPr>
          <w:rFonts w:ascii="仿宋" w:hAnsi="仿宋" w:eastAsia="仿宋"/>
          <w:b/>
          <w:bCs/>
          <w:sz w:val="32"/>
          <w:szCs w:val="32"/>
        </w:rPr>
        <w:t>广州市越秀南AD013907地块项目营销代理委托合同</w:t>
      </w:r>
    </w:p>
    <w:p>
      <w:pPr>
        <w:pStyle w:val="6"/>
        <w:widowControl w:val="0"/>
        <w:kinsoku w:val="0"/>
        <w:overflowPunct w:val="0"/>
        <w:autoSpaceDE w:val="0"/>
        <w:autoSpaceDN w:val="0"/>
        <w:adjustRightInd w:val="0"/>
        <w:snapToGrid w:val="0"/>
        <w:spacing w:before="0" w:beforeAutospacing="0" w:after="0" w:afterAutospacing="0" w:line="640" w:lineRule="atLeast"/>
        <w:rPr>
          <w:rFonts w:ascii="仿宋" w:hAnsi="仿宋" w:eastAsia="仿宋" w:cs="Times New Roman"/>
        </w:rPr>
      </w:pPr>
      <w:r>
        <w:rPr>
          <w:rFonts w:ascii="仿宋" w:hAnsi="仿宋" w:eastAsia="仿宋" w:cs="Times New Roman"/>
        </w:rPr>
        <w:t xml:space="preserve"> </w:t>
      </w:r>
    </w:p>
    <w:p>
      <w:pPr>
        <w:spacing w:before="312" w:beforeLines="100" w:after="312" w:afterLines="100" w:line="640" w:lineRule="atLeast"/>
        <w:jc w:val="center"/>
        <w:rPr>
          <w:rFonts w:ascii="仿宋" w:hAnsi="仿宋" w:eastAsia="仿宋"/>
          <w:b/>
          <w:bCs/>
          <w:spacing w:val="-20"/>
          <w:sz w:val="52"/>
          <w:szCs w:val="52"/>
        </w:rPr>
      </w:pPr>
      <w:r>
        <w:rPr>
          <w:rFonts w:ascii="仿宋" w:hAnsi="仿宋" w:eastAsia="仿宋"/>
          <w:b/>
          <w:bCs/>
          <w:spacing w:val="-20"/>
          <w:sz w:val="52"/>
          <w:szCs w:val="52"/>
        </w:rPr>
        <w:t>广州市越秀南AD013907地块项目</w:t>
      </w:r>
    </w:p>
    <w:p>
      <w:pPr>
        <w:spacing w:before="312" w:beforeLines="100" w:after="312" w:afterLines="100" w:line="640" w:lineRule="atLeast"/>
        <w:jc w:val="center"/>
        <w:rPr>
          <w:rFonts w:ascii="仿宋" w:hAnsi="仿宋" w:eastAsia="仿宋"/>
          <w:b/>
          <w:bCs/>
          <w:spacing w:val="-20"/>
          <w:sz w:val="52"/>
          <w:szCs w:val="52"/>
        </w:rPr>
      </w:pPr>
      <w:r>
        <w:rPr>
          <w:rFonts w:ascii="仿宋" w:hAnsi="仿宋" w:eastAsia="仿宋"/>
          <w:b/>
          <w:bCs/>
          <w:spacing w:val="-20"/>
          <w:sz w:val="52"/>
          <w:szCs w:val="52"/>
        </w:rPr>
        <w:t>营销代理委托合同</w:t>
      </w:r>
    </w:p>
    <w:p>
      <w:pPr>
        <w:spacing w:before="312" w:beforeLines="100" w:after="312" w:afterLines="100" w:line="640" w:lineRule="atLeast"/>
        <w:jc w:val="center"/>
        <w:rPr>
          <w:rFonts w:ascii="仿宋" w:hAnsi="仿宋" w:eastAsia="仿宋"/>
          <w:b/>
          <w:bCs/>
          <w:sz w:val="32"/>
          <w:szCs w:val="32"/>
        </w:rPr>
      </w:pPr>
      <w:r>
        <w:rPr>
          <w:rFonts w:ascii="仿宋" w:hAnsi="仿宋" w:eastAsia="仿宋"/>
          <w:b/>
          <w:bCs/>
          <w:sz w:val="32"/>
          <w:szCs w:val="32"/>
        </w:rPr>
        <w:t xml:space="preserve"> </w:t>
      </w:r>
    </w:p>
    <w:p>
      <w:pPr>
        <w:spacing w:before="312" w:beforeLines="100" w:after="312" w:afterLines="100" w:line="640" w:lineRule="atLeast"/>
        <w:jc w:val="center"/>
        <w:rPr>
          <w:rFonts w:ascii="仿宋" w:hAnsi="仿宋" w:eastAsia="仿宋"/>
          <w:b/>
          <w:bCs/>
          <w:sz w:val="32"/>
          <w:szCs w:val="32"/>
        </w:rPr>
      </w:pPr>
      <w:r>
        <w:rPr>
          <w:rFonts w:ascii="仿宋" w:hAnsi="仿宋" w:eastAsia="仿宋"/>
          <w:b/>
          <w:bCs/>
          <w:sz w:val="32"/>
          <w:szCs w:val="32"/>
        </w:rPr>
        <w:t>（注：此合同为固定格式合同，一旦竞投成功，</w:t>
      </w:r>
    </w:p>
    <w:p>
      <w:pPr>
        <w:spacing w:before="312" w:beforeLines="100" w:after="312" w:afterLines="100" w:line="640" w:lineRule="atLeast"/>
        <w:jc w:val="center"/>
        <w:rPr>
          <w:rFonts w:ascii="仿宋" w:hAnsi="仿宋" w:eastAsia="仿宋"/>
          <w:b/>
          <w:bCs/>
          <w:sz w:val="32"/>
          <w:szCs w:val="32"/>
        </w:rPr>
      </w:pPr>
      <w:r>
        <w:rPr>
          <w:rFonts w:ascii="仿宋" w:hAnsi="仿宋" w:eastAsia="仿宋"/>
          <w:b/>
          <w:bCs/>
          <w:sz w:val="32"/>
          <w:szCs w:val="32"/>
        </w:rPr>
        <w:t>将按此版本落实签订，不得做任何实质性修改）</w:t>
      </w:r>
    </w:p>
    <w:p>
      <w:pPr>
        <w:spacing w:line="640" w:lineRule="atLeast"/>
        <w:rPr>
          <w:rFonts w:ascii="仿宋" w:hAnsi="仿宋" w:eastAsia="仿宋"/>
          <w:b/>
          <w:bCs/>
          <w:sz w:val="32"/>
          <w:szCs w:val="32"/>
        </w:rPr>
      </w:pPr>
      <w:r>
        <w:rPr>
          <w:rFonts w:ascii="仿宋" w:hAnsi="仿宋" w:eastAsia="仿宋"/>
          <w:b/>
          <w:bCs/>
          <w:sz w:val="32"/>
          <w:szCs w:val="32"/>
        </w:rPr>
        <w:t xml:space="preserve"> </w:t>
      </w:r>
    </w:p>
    <w:p>
      <w:pPr>
        <w:spacing w:line="640" w:lineRule="atLeast"/>
        <w:rPr>
          <w:rFonts w:ascii="仿宋" w:hAnsi="仿宋" w:eastAsia="仿宋"/>
          <w:b/>
          <w:bCs/>
          <w:sz w:val="32"/>
          <w:szCs w:val="32"/>
        </w:rPr>
      </w:pPr>
      <w:r>
        <w:rPr>
          <w:rFonts w:ascii="仿宋" w:hAnsi="仿宋" w:eastAsia="仿宋"/>
          <w:b/>
          <w:bCs/>
          <w:sz w:val="32"/>
          <w:szCs w:val="32"/>
        </w:rPr>
        <w:t xml:space="preserve"> </w:t>
      </w:r>
    </w:p>
    <w:p>
      <w:pPr>
        <w:spacing w:line="640" w:lineRule="atLeast"/>
        <w:rPr>
          <w:rFonts w:ascii="仿宋" w:hAnsi="仿宋" w:eastAsia="仿宋"/>
          <w:b/>
          <w:bCs/>
          <w:sz w:val="32"/>
          <w:szCs w:val="32"/>
        </w:rPr>
      </w:pPr>
      <w:r>
        <w:rPr>
          <w:rFonts w:ascii="仿宋" w:hAnsi="仿宋" w:eastAsia="仿宋"/>
          <w:b/>
          <w:bCs/>
          <w:sz w:val="32"/>
          <w:szCs w:val="32"/>
        </w:rPr>
        <w:t xml:space="preserve"> </w:t>
      </w:r>
    </w:p>
    <w:p>
      <w:pPr>
        <w:spacing w:line="640" w:lineRule="atLeast"/>
        <w:jc w:val="center"/>
        <w:rPr>
          <w:rFonts w:ascii="仿宋" w:hAnsi="仿宋" w:eastAsia="仿宋"/>
          <w:b/>
          <w:bCs/>
          <w:sz w:val="32"/>
          <w:szCs w:val="32"/>
        </w:rPr>
      </w:pPr>
      <w:r>
        <w:rPr>
          <w:rFonts w:ascii="仿宋" w:hAnsi="仿宋" w:eastAsia="仿宋"/>
          <w:b/>
          <w:bCs/>
          <w:sz w:val="32"/>
          <w:szCs w:val="32"/>
        </w:rPr>
        <w:t xml:space="preserve"> </w:t>
      </w:r>
    </w:p>
    <w:p>
      <w:pPr>
        <w:spacing w:line="640" w:lineRule="atLeast"/>
        <w:ind w:firstLine="1280" w:firstLineChars="400"/>
        <w:rPr>
          <w:rFonts w:ascii="仿宋" w:hAnsi="仿宋" w:eastAsia="仿宋"/>
          <w:sz w:val="32"/>
          <w:szCs w:val="32"/>
          <w:u w:val="single"/>
        </w:rPr>
      </w:pPr>
      <w:r>
        <w:rPr>
          <w:rFonts w:ascii="仿宋" w:hAnsi="仿宋" w:eastAsia="仿宋"/>
          <w:sz w:val="32"/>
          <w:szCs w:val="32"/>
        </w:rPr>
        <w:t>委 托 方：</w:t>
      </w:r>
      <w:r>
        <w:rPr>
          <w:rFonts w:ascii="仿宋" w:hAnsi="仿宋" w:eastAsia="仿宋"/>
          <w:sz w:val="32"/>
          <w:szCs w:val="32"/>
          <w:u w:val="single"/>
        </w:rPr>
        <w:t xml:space="preserve"> 广州市城悦房地产开发有限公司</w:t>
      </w:r>
    </w:p>
    <w:p>
      <w:pPr>
        <w:spacing w:line="640" w:lineRule="atLeast"/>
        <w:ind w:firstLine="1280" w:firstLineChars="400"/>
        <w:rPr>
          <w:rFonts w:ascii="仿宋" w:hAnsi="仿宋" w:eastAsia="仿宋"/>
          <w:sz w:val="32"/>
          <w:szCs w:val="32"/>
        </w:rPr>
      </w:pPr>
      <w:r>
        <w:rPr>
          <w:rFonts w:ascii="仿宋" w:hAnsi="仿宋" w:eastAsia="仿宋"/>
          <w:sz w:val="32"/>
          <w:szCs w:val="32"/>
        </w:rPr>
        <w:t>受 托 方：</w:t>
      </w:r>
      <w:r>
        <w:rPr>
          <w:rFonts w:ascii="仿宋" w:hAnsi="仿宋" w:eastAsia="仿宋"/>
          <w:sz w:val="32"/>
          <w:szCs w:val="32"/>
          <w:u w:val="single"/>
        </w:rPr>
        <w:t xml:space="preserve">                               </w:t>
      </w:r>
    </w:p>
    <w:p>
      <w:pPr>
        <w:spacing w:line="640" w:lineRule="atLeast"/>
        <w:ind w:firstLine="1280" w:firstLineChars="400"/>
        <w:rPr>
          <w:rFonts w:ascii="仿宋" w:hAnsi="仿宋" w:eastAsia="仿宋"/>
          <w:sz w:val="32"/>
          <w:szCs w:val="32"/>
          <w:u w:val="single"/>
        </w:rPr>
      </w:pPr>
      <w:r>
        <w:rPr>
          <w:rFonts w:ascii="仿宋" w:hAnsi="仿宋" w:eastAsia="仿宋"/>
          <w:sz w:val="32"/>
          <w:szCs w:val="32"/>
        </w:rPr>
        <w:t>合同编号：</w:t>
      </w:r>
      <w:r>
        <w:rPr>
          <w:rFonts w:ascii="仿宋" w:hAnsi="仿宋" w:eastAsia="仿宋"/>
          <w:sz w:val="32"/>
          <w:szCs w:val="32"/>
          <w:u w:val="single"/>
        </w:rPr>
        <w:t xml:space="preserve">                               </w:t>
      </w:r>
    </w:p>
    <w:p>
      <w:pPr>
        <w:spacing w:line="640" w:lineRule="atLeast"/>
        <w:ind w:firstLine="1280" w:firstLineChars="400"/>
        <w:rPr>
          <w:rFonts w:ascii="仿宋" w:hAnsi="仿宋" w:eastAsia="仿宋"/>
          <w:sz w:val="32"/>
          <w:szCs w:val="32"/>
          <w:u w:val="single"/>
        </w:rPr>
      </w:pPr>
      <w:r>
        <w:rPr>
          <w:rFonts w:ascii="仿宋" w:hAnsi="仿宋" w:eastAsia="仿宋"/>
          <w:sz w:val="32"/>
          <w:szCs w:val="32"/>
        </w:rPr>
        <w:t>成立日期：</w:t>
      </w:r>
      <w:r>
        <w:rPr>
          <w:rFonts w:ascii="仿宋" w:hAnsi="仿宋" w:eastAsia="仿宋"/>
          <w:sz w:val="32"/>
          <w:szCs w:val="32"/>
          <w:u w:val="single"/>
        </w:rPr>
        <w:t xml:space="preserve">        年    月    日         </w:t>
      </w:r>
    </w:p>
    <w:p>
      <w:pPr>
        <w:spacing w:line="640" w:lineRule="atLeast"/>
        <w:ind w:firstLine="1280" w:firstLineChars="400"/>
        <w:rPr>
          <w:rFonts w:ascii="仿宋" w:hAnsi="仿宋" w:eastAsia="仿宋"/>
          <w:sz w:val="32"/>
          <w:szCs w:val="32"/>
          <w:u w:val="single"/>
        </w:rPr>
      </w:pPr>
      <w:r>
        <w:rPr>
          <w:rFonts w:ascii="仿宋" w:hAnsi="仿宋" w:eastAsia="仿宋"/>
          <w:sz w:val="32"/>
          <w:szCs w:val="32"/>
        </w:rPr>
        <w:t>签约地点：</w:t>
      </w:r>
      <w:r>
        <w:rPr>
          <w:rFonts w:ascii="仿宋" w:hAnsi="仿宋" w:eastAsia="仿宋"/>
          <w:sz w:val="32"/>
          <w:szCs w:val="32"/>
          <w:u w:val="single"/>
        </w:rPr>
        <w:t xml:space="preserve">广州市                         </w:t>
      </w:r>
    </w:p>
    <w:p>
      <w:pPr>
        <w:spacing w:line="640" w:lineRule="atLeast"/>
        <w:rPr>
          <w:rFonts w:ascii="仿宋" w:hAnsi="仿宋" w:eastAsia="仿宋"/>
          <w:sz w:val="32"/>
          <w:szCs w:val="32"/>
          <w:u w:val="single"/>
        </w:rPr>
      </w:pPr>
      <w:r>
        <w:rPr>
          <w:rFonts w:ascii="仿宋" w:hAnsi="仿宋" w:eastAsia="仿宋"/>
          <w:sz w:val="32"/>
          <w:szCs w:val="32"/>
          <w:u w:val="single"/>
        </w:rPr>
        <w:t xml:space="preserve"> </w:t>
      </w:r>
    </w:p>
    <w:p>
      <w:pPr>
        <w:rPr>
          <w:rFonts w:ascii="仿宋" w:hAnsi="仿宋" w:eastAsia="仿宋"/>
          <w:sz w:val="32"/>
          <w:szCs w:val="32"/>
        </w:rPr>
      </w:pPr>
      <w:r>
        <w:rPr>
          <w:rFonts w:ascii="仿宋" w:hAnsi="仿宋" w:eastAsia="仿宋"/>
          <w:b/>
          <w:bCs/>
          <w:sz w:val="32"/>
          <w:szCs w:val="32"/>
        </w:rPr>
        <w:br w:type="page"/>
      </w:r>
      <w:r>
        <w:rPr>
          <w:rFonts w:ascii="仿宋" w:hAnsi="仿宋" w:eastAsia="仿宋"/>
          <w:b/>
          <w:bCs/>
          <w:sz w:val="32"/>
          <w:szCs w:val="32"/>
        </w:rPr>
        <w:t>委托人</w:t>
      </w:r>
      <w:r>
        <w:rPr>
          <w:rFonts w:ascii="仿宋" w:hAnsi="仿宋" w:eastAsia="仿宋"/>
          <w:sz w:val="32"/>
          <w:szCs w:val="32"/>
        </w:rPr>
        <w:t>（简称甲方）：广州市城悦房地产开发有限公司</w:t>
      </w:r>
    </w:p>
    <w:p>
      <w:pPr>
        <w:spacing w:line="360" w:lineRule="auto"/>
        <w:rPr>
          <w:rFonts w:ascii="仿宋" w:hAnsi="仿宋" w:eastAsia="仿宋"/>
          <w:sz w:val="32"/>
          <w:szCs w:val="32"/>
        </w:rPr>
      </w:pPr>
      <w:r>
        <w:rPr>
          <w:rFonts w:ascii="仿宋" w:hAnsi="仿宋" w:eastAsia="仿宋"/>
          <w:b/>
          <w:bCs/>
          <w:sz w:val="32"/>
          <w:szCs w:val="32"/>
        </w:rPr>
        <w:t>受托人</w:t>
      </w:r>
      <w:r>
        <w:rPr>
          <w:rFonts w:ascii="仿宋" w:hAnsi="仿宋" w:eastAsia="仿宋"/>
          <w:sz w:val="32"/>
          <w:szCs w:val="32"/>
        </w:rPr>
        <w:t xml:space="preserve">（简称乙方）： </w:t>
      </w:r>
    </w:p>
    <w:p>
      <w:pPr>
        <w:spacing w:line="360" w:lineRule="auto"/>
        <w:ind w:firstLine="640" w:firstLineChars="200"/>
        <w:rPr>
          <w:rFonts w:ascii="仿宋" w:hAnsi="仿宋" w:eastAsia="仿宋"/>
          <w:sz w:val="32"/>
          <w:szCs w:val="32"/>
        </w:rPr>
      </w:pPr>
      <w:r>
        <w:rPr>
          <w:rFonts w:ascii="仿宋" w:hAnsi="仿宋" w:eastAsia="仿宋"/>
          <w:sz w:val="32"/>
          <w:szCs w:val="32"/>
        </w:rPr>
        <w:t>依照《中华人民共和国合同法》及有关法律、行政法规，甲方为维护自身的合法权益及合理了解项目的市场情况，委托乙方对广州</w:t>
      </w:r>
      <w:r>
        <w:rPr>
          <w:rFonts w:hint="eastAsia" w:ascii="仿宋" w:hAnsi="仿宋" w:eastAsia="仿宋"/>
          <w:sz w:val="32"/>
          <w:szCs w:val="32"/>
        </w:rPr>
        <w:t>市</w:t>
      </w:r>
      <w:r>
        <w:rPr>
          <w:rFonts w:ascii="仿宋" w:hAnsi="仿宋" w:eastAsia="仿宋"/>
          <w:sz w:val="32"/>
          <w:szCs w:val="32"/>
        </w:rPr>
        <w:t>越秀南AD013907地块项目进行非独家营销代理，本着平等互利的原则，经双方协商一致，签订本合同，共同遵守。</w:t>
      </w:r>
    </w:p>
    <w:p>
      <w:pPr>
        <w:spacing w:line="360" w:lineRule="auto"/>
        <w:ind w:left="315" w:leftChars="150" w:firstLine="321" w:firstLineChars="100"/>
        <w:rPr>
          <w:rFonts w:ascii="仿宋" w:hAnsi="仿宋" w:eastAsia="仿宋"/>
          <w:b/>
          <w:bCs/>
          <w:sz w:val="32"/>
          <w:szCs w:val="32"/>
        </w:rPr>
      </w:pPr>
      <w:r>
        <w:rPr>
          <w:rFonts w:ascii="仿宋" w:hAnsi="仿宋" w:eastAsia="仿宋"/>
          <w:b/>
          <w:bCs/>
          <w:sz w:val="32"/>
          <w:szCs w:val="32"/>
        </w:rPr>
        <w:t>第一条  项目概况</w:t>
      </w:r>
    </w:p>
    <w:p>
      <w:pPr>
        <w:pStyle w:val="13"/>
        <w:ind w:firstLineChars="0"/>
        <w:rPr>
          <w:rFonts w:ascii="仿宋" w:hAnsi="仿宋" w:eastAsia="仿宋"/>
          <w:sz w:val="32"/>
          <w:szCs w:val="32"/>
        </w:rPr>
      </w:pPr>
      <w:r>
        <w:rPr>
          <w:rFonts w:ascii="仿宋" w:hAnsi="仿宋" w:eastAsia="仿宋"/>
          <w:sz w:val="32"/>
          <w:szCs w:val="32"/>
        </w:rPr>
        <w:t>广州市越秀南AD013907地块项目位于越秀区，用地面积为14649㎡，可建设用地面积为8296.7㎡，项目总建筑面积约87900㎡，其中，计容建筑面积约49500㎡，地下室面积约38400㎡，建设高层住宅、配套商业、幼儿园、配套公建、地下停车库。可销售面积约32752平方米。</w:t>
      </w:r>
    </w:p>
    <w:p>
      <w:pPr>
        <w:spacing w:line="640" w:lineRule="atLeast"/>
        <w:ind w:firstLine="645"/>
        <w:rPr>
          <w:rFonts w:ascii="仿宋" w:hAnsi="仿宋" w:eastAsia="仿宋"/>
          <w:sz w:val="32"/>
          <w:szCs w:val="32"/>
        </w:rPr>
      </w:pPr>
      <w:r>
        <w:rPr>
          <w:rFonts w:ascii="仿宋" w:hAnsi="仿宋" w:eastAsia="仿宋"/>
          <w:sz w:val="32"/>
          <w:szCs w:val="32"/>
        </w:rPr>
        <w:t>项目计划开发进度（最终项目开发进度以实际为准）：</w:t>
      </w:r>
    </w:p>
    <w:tbl>
      <w:tblPr>
        <w:tblStyle w:val="7"/>
        <w:tblW w:w="8740" w:type="dxa"/>
        <w:jc w:val="center"/>
        <w:tblLayout w:type="autofit"/>
        <w:tblCellMar>
          <w:top w:w="0" w:type="dxa"/>
          <w:left w:w="108" w:type="dxa"/>
          <w:bottom w:w="0" w:type="dxa"/>
          <w:right w:w="108" w:type="dxa"/>
        </w:tblCellMar>
      </w:tblPr>
      <w:tblGrid>
        <w:gridCol w:w="980"/>
        <w:gridCol w:w="2860"/>
        <w:gridCol w:w="1780"/>
        <w:gridCol w:w="3120"/>
      </w:tblGrid>
      <w:tr>
        <w:tblPrEx>
          <w:tblCellMar>
            <w:top w:w="0" w:type="dxa"/>
            <w:left w:w="108" w:type="dxa"/>
            <w:bottom w:w="0" w:type="dxa"/>
            <w:right w:w="108" w:type="dxa"/>
          </w:tblCellMar>
        </w:tblPrEx>
        <w:trPr>
          <w:trHeight w:val="465"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关键节点名称</w:t>
            </w:r>
          </w:p>
        </w:tc>
        <w:tc>
          <w:tcPr>
            <w:tcW w:w="1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计划完成时间</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完成成果、标志</w:t>
            </w:r>
          </w:p>
        </w:tc>
      </w:tr>
      <w:tr>
        <w:tblPrEx>
          <w:tblCellMar>
            <w:top w:w="0" w:type="dxa"/>
            <w:left w:w="108" w:type="dxa"/>
            <w:bottom w:w="0" w:type="dxa"/>
            <w:right w:w="108" w:type="dxa"/>
          </w:tblCellMar>
        </w:tblPrEx>
        <w:trPr>
          <w:trHeight w:val="505"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获批基坑先行施工</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2020/10/10</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基坑施工复函</w:t>
            </w:r>
          </w:p>
        </w:tc>
      </w:tr>
      <w:tr>
        <w:tblPrEx>
          <w:tblCellMar>
            <w:top w:w="0" w:type="dxa"/>
            <w:left w:w="108" w:type="dxa"/>
            <w:bottom w:w="0" w:type="dxa"/>
            <w:right w:w="108" w:type="dxa"/>
          </w:tblCellMar>
        </w:tblPrEx>
        <w:trPr>
          <w:trHeight w:val="614"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获批《建设工程规划许可证》</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2020/11/30</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《建设工程规划许可证》</w:t>
            </w:r>
          </w:p>
        </w:tc>
      </w:tr>
      <w:tr>
        <w:tblPrEx>
          <w:tblCellMar>
            <w:top w:w="0" w:type="dxa"/>
            <w:left w:w="108" w:type="dxa"/>
            <w:bottom w:w="0" w:type="dxa"/>
            <w:right w:w="108" w:type="dxa"/>
          </w:tblCellMar>
        </w:tblPrEx>
        <w:trPr>
          <w:trHeight w:val="614"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获批主体《施工许可证》</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2021/4/30</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《施工许可证》</w:t>
            </w:r>
          </w:p>
        </w:tc>
      </w:tr>
      <w:tr>
        <w:tblPrEx>
          <w:tblCellMar>
            <w:top w:w="0" w:type="dxa"/>
            <w:left w:w="108" w:type="dxa"/>
            <w:bottom w:w="0" w:type="dxa"/>
            <w:right w:w="108" w:type="dxa"/>
          </w:tblCellMar>
        </w:tblPrEx>
        <w:trPr>
          <w:trHeight w:val="614"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±0.00以下结构施工</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2021/11/30</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当期±0.00以下结构全部浇筑完成</w:t>
            </w:r>
          </w:p>
        </w:tc>
      </w:tr>
      <w:tr>
        <w:tblPrEx>
          <w:tblCellMar>
            <w:top w:w="0" w:type="dxa"/>
            <w:left w:w="108" w:type="dxa"/>
            <w:bottom w:w="0" w:type="dxa"/>
            <w:right w:w="108" w:type="dxa"/>
          </w:tblCellMar>
        </w:tblPrEx>
        <w:trPr>
          <w:trHeight w:val="559"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示范区开放</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2022/2/1</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示范区/样板间装修完成</w:t>
            </w:r>
          </w:p>
        </w:tc>
      </w:tr>
      <w:tr>
        <w:tblPrEx>
          <w:tblCellMar>
            <w:top w:w="0" w:type="dxa"/>
            <w:left w:w="108" w:type="dxa"/>
            <w:bottom w:w="0" w:type="dxa"/>
            <w:right w:w="108" w:type="dxa"/>
          </w:tblCellMar>
        </w:tblPrEx>
        <w:trPr>
          <w:trHeight w:val="920"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申领预售证（公开发售）</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2022/4/30</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当期项目所有可售物业《预售许可证》并公开发售</w:t>
            </w:r>
          </w:p>
        </w:tc>
      </w:tr>
      <w:tr>
        <w:tblPrEx>
          <w:tblCellMar>
            <w:top w:w="0" w:type="dxa"/>
            <w:left w:w="108" w:type="dxa"/>
            <w:bottom w:w="0" w:type="dxa"/>
            <w:right w:w="108" w:type="dxa"/>
          </w:tblCellMar>
        </w:tblPrEx>
        <w:trPr>
          <w:trHeight w:val="614"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结构封顶</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2022/6/30</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当期±0.00以上结构全部浇筑完成</w:t>
            </w:r>
          </w:p>
        </w:tc>
      </w:tr>
      <w:tr>
        <w:tblPrEx>
          <w:tblCellMar>
            <w:top w:w="0" w:type="dxa"/>
            <w:left w:w="108" w:type="dxa"/>
            <w:bottom w:w="0" w:type="dxa"/>
            <w:right w:w="108" w:type="dxa"/>
          </w:tblCellMar>
        </w:tblPrEx>
        <w:trPr>
          <w:trHeight w:val="920"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完成85%销售面积</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2023/1/30</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以网签合同记录及房地产项目管理信息系统录入为依据</w:t>
            </w:r>
          </w:p>
        </w:tc>
      </w:tr>
      <w:tr>
        <w:tblPrEx>
          <w:tblCellMar>
            <w:top w:w="0" w:type="dxa"/>
            <w:left w:w="108" w:type="dxa"/>
            <w:bottom w:w="0" w:type="dxa"/>
            <w:right w:w="108" w:type="dxa"/>
          </w:tblCellMar>
        </w:tblPrEx>
        <w:trPr>
          <w:trHeight w:val="614"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外立面完工（含拆架）</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2022/11/10</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外架全部拆除完成</w:t>
            </w:r>
          </w:p>
        </w:tc>
      </w:tr>
      <w:tr>
        <w:tblPrEx>
          <w:tblCellMar>
            <w:top w:w="0" w:type="dxa"/>
            <w:left w:w="108" w:type="dxa"/>
            <w:bottom w:w="0" w:type="dxa"/>
            <w:right w:w="108" w:type="dxa"/>
          </w:tblCellMar>
        </w:tblPrEx>
        <w:trPr>
          <w:trHeight w:val="492"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精装修完成</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2023/3/30</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分户验收确认表</w:t>
            </w:r>
          </w:p>
        </w:tc>
      </w:tr>
      <w:tr>
        <w:tblPrEx>
          <w:tblCellMar>
            <w:top w:w="0" w:type="dxa"/>
            <w:left w:w="108" w:type="dxa"/>
            <w:bottom w:w="0" w:type="dxa"/>
            <w:right w:w="108" w:type="dxa"/>
          </w:tblCellMar>
        </w:tblPrEx>
        <w:trPr>
          <w:trHeight w:val="614"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规划验收</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2023/2/28</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《建设工程规划验收合格证》</w:t>
            </w:r>
          </w:p>
        </w:tc>
      </w:tr>
      <w:tr>
        <w:tblPrEx>
          <w:tblCellMar>
            <w:top w:w="0" w:type="dxa"/>
            <w:left w:w="108" w:type="dxa"/>
            <w:bottom w:w="0" w:type="dxa"/>
            <w:right w:w="108" w:type="dxa"/>
          </w:tblCellMar>
        </w:tblPrEx>
        <w:trPr>
          <w:trHeight w:val="614"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联合验收备案</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2023/4/30</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《建设工程项目竣工验收备案登记表》</w:t>
            </w:r>
          </w:p>
        </w:tc>
      </w:tr>
      <w:tr>
        <w:tblPrEx>
          <w:tblCellMar>
            <w:top w:w="0" w:type="dxa"/>
            <w:left w:w="108" w:type="dxa"/>
            <w:bottom w:w="0" w:type="dxa"/>
            <w:right w:w="108" w:type="dxa"/>
          </w:tblCellMar>
        </w:tblPrEx>
        <w:trPr>
          <w:trHeight w:val="614"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交付业主</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2023/5/10</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业主签署《交楼确认书》</w:t>
            </w:r>
          </w:p>
        </w:tc>
      </w:tr>
    </w:tbl>
    <w:p>
      <w:pPr>
        <w:pStyle w:val="13"/>
        <w:ind w:firstLine="643"/>
        <w:rPr>
          <w:rFonts w:ascii="仿宋" w:hAnsi="仿宋" w:eastAsia="仿宋"/>
          <w:sz w:val="32"/>
          <w:szCs w:val="32"/>
        </w:rPr>
      </w:pPr>
      <w:r>
        <w:rPr>
          <w:rFonts w:ascii="仿宋" w:hAnsi="仿宋" w:eastAsia="仿宋"/>
          <w:b/>
          <w:bCs/>
          <w:sz w:val="32"/>
          <w:szCs w:val="32"/>
        </w:rPr>
        <w:t>第二条  工作范围及内容</w:t>
      </w:r>
    </w:p>
    <w:p>
      <w:pPr>
        <w:pStyle w:val="13"/>
        <w:ind w:firstLine="480" w:firstLineChars="150"/>
        <w:rPr>
          <w:rFonts w:ascii="仿宋" w:hAnsi="仿宋" w:eastAsia="仿宋"/>
          <w:sz w:val="32"/>
          <w:szCs w:val="32"/>
        </w:rPr>
      </w:pPr>
      <w:r>
        <w:rPr>
          <w:rFonts w:ascii="仿宋" w:hAnsi="仿宋" w:eastAsia="仿宋"/>
          <w:sz w:val="32"/>
          <w:szCs w:val="32"/>
        </w:rPr>
        <w:t>本合同委托范围包括：项目营销策划、销售代理，按合同要求完成销售目标。</w:t>
      </w:r>
    </w:p>
    <w:p>
      <w:pPr>
        <w:spacing w:line="360" w:lineRule="auto"/>
        <w:ind w:firstLine="643" w:firstLineChars="200"/>
        <w:rPr>
          <w:rFonts w:ascii="仿宋" w:hAnsi="仿宋" w:eastAsia="仿宋"/>
          <w:sz w:val="32"/>
          <w:szCs w:val="32"/>
        </w:rPr>
      </w:pPr>
      <w:r>
        <w:rPr>
          <w:rFonts w:ascii="仿宋" w:hAnsi="仿宋" w:eastAsia="仿宋"/>
          <w:b/>
          <w:bCs/>
          <w:sz w:val="32"/>
          <w:szCs w:val="32"/>
        </w:rPr>
        <w:t>2.1营销策划：</w:t>
      </w:r>
      <w:r>
        <w:rPr>
          <w:rFonts w:ascii="仿宋" w:hAnsi="仿宋" w:eastAsia="仿宋"/>
          <w:sz w:val="32"/>
          <w:szCs w:val="32"/>
        </w:rPr>
        <w:t>包括但不限于</w:t>
      </w:r>
    </w:p>
    <w:p>
      <w:pPr>
        <w:spacing w:line="360" w:lineRule="auto"/>
        <w:ind w:firstLine="640" w:firstLineChars="200"/>
        <w:rPr>
          <w:rFonts w:ascii="仿宋" w:hAnsi="仿宋" w:eastAsia="仿宋"/>
          <w:sz w:val="32"/>
          <w:szCs w:val="32"/>
        </w:rPr>
      </w:pPr>
      <w:r>
        <w:rPr>
          <w:rFonts w:ascii="仿宋" w:hAnsi="仿宋" w:eastAsia="仿宋"/>
          <w:sz w:val="32"/>
          <w:szCs w:val="32"/>
        </w:rPr>
        <w:t>2.1.</w:t>
      </w:r>
      <w:r>
        <w:rPr>
          <w:rFonts w:hint="eastAsia" w:ascii="仿宋" w:hAnsi="仿宋" w:eastAsia="仿宋"/>
          <w:sz w:val="32"/>
          <w:szCs w:val="32"/>
        </w:rPr>
        <w:t>1</w:t>
      </w:r>
      <w:r>
        <w:rPr>
          <w:rFonts w:ascii="仿宋" w:hAnsi="仿宋" w:eastAsia="仿宋"/>
          <w:sz w:val="32"/>
          <w:szCs w:val="32"/>
        </w:rPr>
        <w:t>负责撰写项目整体营销策略报告、营销思路深化方案、拟定营销推广建议、项目产品定价报告、收筹和推货策略方案、开盘方案、销售拓展执行方案、目标客户分析、市场周报、月报等。</w:t>
      </w:r>
    </w:p>
    <w:p>
      <w:pPr>
        <w:spacing w:line="360" w:lineRule="auto"/>
        <w:ind w:firstLine="640" w:firstLineChars="200"/>
        <w:rPr>
          <w:rFonts w:ascii="仿宋" w:hAnsi="仿宋" w:eastAsia="仿宋"/>
          <w:sz w:val="32"/>
          <w:szCs w:val="32"/>
        </w:rPr>
      </w:pPr>
      <w:r>
        <w:rPr>
          <w:rFonts w:ascii="仿宋" w:hAnsi="仿宋" w:eastAsia="仿宋"/>
          <w:sz w:val="32"/>
          <w:szCs w:val="32"/>
        </w:rPr>
        <w:t>2.2.2协助确定合作公司（广告、制作、活动公司等）、协助推进广告公司的推广策略和项目形象设计工作：包括案名、项目logo、项目vi、主画面等；协助现场物料设计制作：包括户型图、单张、手提资料袋、伴手礼等；协助开放活动、开盘活动；协助产品发布会宣传、布置、邀约、执行等工作；协助推广：包括跟进微信推文、网络推广、户外、大v、电台、朋友圈等；协助微信推广、小视频发布、项目宣传片等的相关工作。</w:t>
      </w:r>
    </w:p>
    <w:p>
      <w:pPr>
        <w:spacing w:line="360" w:lineRule="auto"/>
        <w:ind w:firstLine="640" w:firstLineChars="200"/>
        <w:rPr>
          <w:rFonts w:ascii="仿宋" w:hAnsi="仿宋" w:eastAsia="仿宋"/>
          <w:sz w:val="32"/>
          <w:szCs w:val="32"/>
        </w:rPr>
      </w:pPr>
      <w:r>
        <w:rPr>
          <w:rFonts w:ascii="仿宋" w:hAnsi="仿宋" w:eastAsia="仿宋"/>
          <w:sz w:val="32"/>
          <w:szCs w:val="32"/>
        </w:rPr>
        <w:t>2.2.3协助提供销售中心、样板房、看楼动线设置及装修包装风格建议；协助提供交楼标准的建议；协助提供园林、示范区的风格建议等。</w:t>
      </w:r>
    </w:p>
    <w:p>
      <w:pPr>
        <w:spacing w:line="360" w:lineRule="auto"/>
        <w:ind w:firstLine="640" w:firstLineChars="200"/>
        <w:rPr>
          <w:rFonts w:ascii="仿宋" w:hAnsi="仿宋" w:eastAsia="仿宋"/>
          <w:sz w:val="32"/>
          <w:szCs w:val="32"/>
        </w:rPr>
      </w:pPr>
      <w:r>
        <w:rPr>
          <w:rFonts w:ascii="仿宋" w:hAnsi="仿宋" w:eastAsia="仿宋"/>
          <w:sz w:val="32"/>
          <w:szCs w:val="32"/>
        </w:rPr>
        <w:t>2.2.4现场包装工作协助：道路指引系统；停车场包装及指引；精神堡垒和保安亭；项目围挡、主入口大门；园林绿化；楼体灯字；营销中心、样板房通道包装等。</w:t>
      </w:r>
    </w:p>
    <w:p>
      <w:pPr>
        <w:spacing w:line="360" w:lineRule="auto"/>
        <w:ind w:firstLine="643" w:firstLineChars="200"/>
        <w:rPr>
          <w:rFonts w:ascii="仿宋" w:hAnsi="仿宋" w:eastAsia="仿宋"/>
          <w:sz w:val="32"/>
          <w:szCs w:val="32"/>
        </w:rPr>
      </w:pPr>
      <w:r>
        <w:rPr>
          <w:rFonts w:ascii="仿宋" w:hAnsi="仿宋" w:eastAsia="仿宋"/>
          <w:b/>
          <w:bCs/>
          <w:sz w:val="32"/>
          <w:szCs w:val="32"/>
        </w:rPr>
        <w:t>2.2 销售代理</w:t>
      </w:r>
      <w:r>
        <w:rPr>
          <w:rFonts w:ascii="仿宋" w:hAnsi="仿宋" w:eastAsia="仿宋"/>
          <w:sz w:val="32"/>
          <w:szCs w:val="32"/>
        </w:rPr>
        <w:t>：包括但不限于</w:t>
      </w:r>
    </w:p>
    <w:p>
      <w:pPr>
        <w:spacing w:line="640" w:lineRule="atLeast"/>
        <w:ind w:firstLine="645"/>
        <w:rPr>
          <w:rFonts w:ascii="仿宋" w:hAnsi="仿宋" w:eastAsia="仿宋"/>
          <w:sz w:val="32"/>
          <w:szCs w:val="32"/>
        </w:rPr>
      </w:pPr>
      <w:r>
        <w:rPr>
          <w:rFonts w:ascii="仿宋" w:hAnsi="仿宋" w:eastAsia="仿宋"/>
          <w:sz w:val="32"/>
          <w:szCs w:val="32"/>
        </w:rPr>
        <w:t>2.2.1销售团队组建、客户接待及集中培训、销售说辞、百问百答、抗性口径等；销售接待礼仪等。制定销售流程及组织销售培训、负责销售执行、提出分期推盘建议及售价建议等。</w:t>
      </w:r>
    </w:p>
    <w:p>
      <w:pPr>
        <w:spacing w:line="640" w:lineRule="atLeast"/>
        <w:ind w:firstLine="645"/>
        <w:rPr>
          <w:rFonts w:ascii="仿宋" w:hAnsi="仿宋" w:eastAsia="仿宋"/>
          <w:sz w:val="32"/>
          <w:szCs w:val="32"/>
        </w:rPr>
      </w:pPr>
      <w:r>
        <w:rPr>
          <w:rFonts w:ascii="仿宋" w:hAnsi="仿宋" w:eastAsia="仿宋"/>
          <w:sz w:val="32"/>
          <w:szCs w:val="32"/>
        </w:rPr>
        <w:t>2.2.2乙方同意接受联合驻场代理的合作模式，乙方派驻自己的销售团队驻场接待及服务客户，并借力社会各渠道客户资源，实现项目销售目标。</w:t>
      </w:r>
    </w:p>
    <w:p>
      <w:pPr>
        <w:pStyle w:val="2"/>
        <w:ind w:firstLine="640" w:firstLineChars="200"/>
        <w:rPr>
          <w:rFonts w:ascii="仿宋" w:hAnsi="仿宋" w:eastAsia="仿宋"/>
          <w:color w:val="auto"/>
          <w:kern w:val="2"/>
          <w:sz w:val="32"/>
          <w:szCs w:val="32"/>
        </w:rPr>
      </w:pPr>
      <w:r>
        <w:rPr>
          <w:rFonts w:ascii="仿宋" w:hAnsi="仿宋" w:eastAsia="仿宋"/>
          <w:color w:val="auto"/>
          <w:kern w:val="2"/>
          <w:sz w:val="32"/>
          <w:szCs w:val="32"/>
        </w:rPr>
        <w:t>2.2.3 乙方应发挥自身优势，利用乙方客户资源，充分调动销售人员的积极性推介、销售该项目。乙方在经甲方书面认可情况下，可在乙方相关渠道平台上进行该项目的推广。</w:t>
      </w:r>
    </w:p>
    <w:p>
      <w:pPr>
        <w:pStyle w:val="2"/>
        <w:ind w:firstLine="640" w:firstLineChars="200"/>
        <w:rPr>
          <w:rFonts w:ascii="仿宋" w:hAnsi="仿宋" w:eastAsia="仿宋"/>
          <w:color w:val="auto"/>
          <w:kern w:val="2"/>
          <w:sz w:val="32"/>
          <w:szCs w:val="32"/>
        </w:rPr>
      </w:pPr>
      <w:r>
        <w:rPr>
          <w:rFonts w:ascii="仿宋" w:hAnsi="仿宋" w:eastAsia="仿宋"/>
          <w:color w:val="auto"/>
          <w:kern w:val="2"/>
          <w:sz w:val="32"/>
          <w:szCs w:val="32"/>
        </w:rPr>
        <w:t xml:space="preserve">2.2.4 乙方须派销售管理人员与甲方人员对接及处理相关销售事宜，包含但不限于以下服务内容： </w:t>
      </w:r>
    </w:p>
    <w:p>
      <w:pPr>
        <w:pStyle w:val="2"/>
        <w:ind w:firstLine="640" w:firstLineChars="200"/>
        <w:rPr>
          <w:rFonts w:ascii="仿宋" w:hAnsi="仿宋" w:eastAsia="仿宋"/>
          <w:color w:val="auto"/>
          <w:kern w:val="2"/>
          <w:sz w:val="32"/>
          <w:szCs w:val="32"/>
        </w:rPr>
      </w:pPr>
      <w:r>
        <w:rPr>
          <w:rFonts w:ascii="仿宋" w:hAnsi="仿宋" w:eastAsia="仿宋"/>
          <w:color w:val="auto"/>
          <w:kern w:val="2"/>
          <w:sz w:val="32"/>
          <w:szCs w:val="32"/>
        </w:rPr>
        <w:t>2.2.4.1 提供购买人相关背景信息。</w:t>
      </w:r>
    </w:p>
    <w:p>
      <w:pPr>
        <w:pStyle w:val="2"/>
        <w:ind w:firstLine="640" w:firstLineChars="200"/>
        <w:rPr>
          <w:rFonts w:ascii="仿宋" w:hAnsi="仿宋" w:eastAsia="仿宋"/>
          <w:color w:val="auto"/>
          <w:kern w:val="2"/>
          <w:sz w:val="32"/>
          <w:szCs w:val="32"/>
        </w:rPr>
      </w:pPr>
      <w:r>
        <w:rPr>
          <w:rFonts w:ascii="仿宋" w:hAnsi="仿宋" w:eastAsia="仿宋"/>
          <w:color w:val="auto"/>
          <w:kern w:val="2"/>
          <w:sz w:val="32"/>
          <w:szCs w:val="32"/>
        </w:rPr>
        <w:t>2.2.4.2 协调组织与购买人之会晤。</w:t>
      </w:r>
    </w:p>
    <w:p>
      <w:pPr>
        <w:pStyle w:val="2"/>
        <w:ind w:firstLine="640" w:firstLineChars="200"/>
        <w:rPr>
          <w:rFonts w:ascii="仿宋" w:hAnsi="仿宋" w:eastAsia="仿宋"/>
          <w:color w:val="auto"/>
          <w:kern w:val="2"/>
          <w:sz w:val="32"/>
          <w:szCs w:val="32"/>
        </w:rPr>
      </w:pPr>
      <w:r>
        <w:rPr>
          <w:rFonts w:ascii="仿宋" w:hAnsi="仿宋" w:eastAsia="仿宋"/>
          <w:color w:val="auto"/>
          <w:kern w:val="2"/>
          <w:sz w:val="32"/>
          <w:szCs w:val="32"/>
        </w:rPr>
        <w:t>2.2.4.3 向购买人提供由甲方提供的相关销售资料信息等文件。</w:t>
      </w:r>
    </w:p>
    <w:p>
      <w:pPr>
        <w:pStyle w:val="2"/>
        <w:ind w:firstLine="640" w:firstLineChars="200"/>
        <w:rPr>
          <w:rFonts w:ascii="仿宋" w:hAnsi="仿宋" w:eastAsia="仿宋"/>
          <w:color w:val="auto"/>
          <w:kern w:val="2"/>
          <w:sz w:val="32"/>
          <w:szCs w:val="32"/>
        </w:rPr>
      </w:pPr>
      <w:r>
        <w:rPr>
          <w:rFonts w:ascii="仿宋" w:hAnsi="仿宋" w:eastAsia="仿宋"/>
          <w:color w:val="auto"/>
          <w:kern w:val="2"/>
          <w:sz w:val="32"/>
          <w:szCs w:val="32"/>
        </w:rPr>
        <w:t>2.2.4.4 跟进从客户推介到客户签署《商品房买卖合同》后的整个交易流程，包括与购买人进行交易条件的洽谈，在谈判中协助甲方与购买人双方合同的签署，包括可能涉及的意向书、谅解备忘录、定制合同、框架协议或等同效力的协议、商品房买卖合同或等同效力的协议或其他文件。</w:t>
      </w:r>
    </w:p>
    <w:p>
      <w:pPr>
        <w:pStyle w:val="2"/>
        <w:ind w:firstLine="640" w:firstLineChars="200"/>
        <w:rPr>
          <w:rFonts w:ascii="仿宋" w:hAnsi="仿宋" w:eastAsia="仿宋"/>
          <w:color w:val="auto"/>
          <w:kern w:val="2"/>
          <w:sz w:val="32"/>
          <w:szCs w:val="32"/>
        </w:rPr>
      </w:pPr>
      <w:r>
        <w:rPr>
          <w:rFonts w:ascii="仿宋" w:hAnsi="仿宋" w:eastAsia="仿宋"/>
          <w:color w:val="auto"/>
          <w:kern w:val="2"/>
          <w:sz w:val="32"/>
          <w:szCs w:val="32"/>
        </w:rPr>
        <w:t>2.2.5 乙方须派销售管理人员与甲方现场销售管理人员对接相关推介工作。</w:t>
      </w:r>
    </w:p>
    <w:p>
      <w:pPr>
        <w:pStyle w:val="2"/>
        <w:ind w:firstLine="640" w:firstLineChars="200"/>
        <w:rPr>
          <w:rFonts w:ascii="仿宋" w:hAnsi="仿宋" w:eastAsia="仿宋"/>
          <w:color w:val="auto"/>
          <w:kern w:val="2"/>
          <w:sz w:val="32"/>
          <w:szCs w:val="32"/>
        </w:rPr>
      </w:pPr>
      <w:r>
        <w:rPr>
          <w:rFonts w:ascii="仿宋" w:hAnsi="仿宋" w:eastAsia="仿宋"/>
          <w:color w:val="auto"/>
          <w:kern w:val="2"/>
          <w:sz w:val="32"/>
          <w:szCs w:val="32"/>
        </w:rPr>
        <w:t>2.2.6 乙方应派销售人员陪同客户到该项目现场售楼处，可选择由甲方指定的驻场销售人员负责现场接待乙方推介客户。</w:t>
      </w:r>
    </w:p>
    <w:p>
      <w:pPr>
        <w:pStyle w:val="2"/>
        <w:ind w:firstLine="640" w:firstLineChars="200"/>
        <w:rPr>
          <w:rFonts w:ascii="仿宋" w:hAnsi="仿宋" w:eastAsia="仿宋"/>
          <w:color w:val="auto"/>
          <w:kern w:val="2"/>
          <w:sz w:val="32"/>
          <w:szCs w:val="32"/>
        </w:rPr>
      </w:pPr>
      <w:r>
        <w:rPr>
          <w:rFonts w:ascii="仿宋" w:hAnsi="仿宋" w:eastAsia="仿宋"/>
          <w:color w:val="auto"/>
          <w:kern w:val="2"/>
          <w:sz w:val="32"/>
          <w:szCs w:val="32"/>
        </w:rPr>
        <w:t>2.2.7 乙方须按甲方认可之方式进行交易，如以甲方未认可之方式进行交易而引起的一切索偿要求（包括诉讼或非诉讼形式），由乙方自负一切后果，造成甲方损失的（包括但不限于直接损失和间接损失），概由乙方全部承担。</w:t>
      </w:r>
    </w:p>
    <w:p>
      <w:pPr>
        <w:pStyle w:val="2"/>
        <w:ind w:firstLine="640" w:firstLineChars="200"/>
        <w:rPr>
          <w:rFonts w:ascii="仿宋" w:hAnsi="仿宋" w:eastAsia="仿宋"/>
          <w:color w:val="auto"/>
          <w:kern w:val="2"/>
          <w:sz w:val="32"/>
          <w:szCs w:val="32"/>
        </w:rPr>
      </w:pPr>
      <w:r>
        <w:rPr>
          <w:rFonts w:ascii="仿宋" w:hAnsi="仿宋" w:eastAsia="仿宋"/>
          <w:color w:val="auto"/>
          <w:kern w:val="2"/>
          <w:sz w:val="32"/>
          <w:szCs w:val="32"/>
        </w:rPr>
        <w:t>2.2.8 乙方须按照甲方确定的销售条件（包括但不限于售价、折扣、付款方式及本合约条款等）进行推售，否则，由此产生的一切后果由乙方负责，造成甲方损失的（包括但不限于直接损失和间接损失），概由乙方全部承担。</w:t>
      </w:r>
    </w:p>
    <w:p>
      <w:pPr>
        <w:pStyle w:val="2"/>
        <w:ind w:firstLine="640" w:firstLineChars="200"/>
        <w:rPr>
          <w:rFonts w:ascii="仿宋" w:hAnsi="仿宋" w:eastAsia="仿宋"/>
          <w:color w:val="auto"/>
          <w:kern w:val="2"/>
          <w:sz w:val="32"/>
          <w:szCs w:val="32"/>
        </w:rPr>
      </w:pPr>
      <w:r>
        <w:rPr>
          <w:rFonts w:ascii="仿宋" w:hAnsi="仿宋" w:eastAsia="仿宋"/>
          <w:color w:val="auto"/>
          <w:kern w:val="2"/>
          <w:sz w:val="32"/>
          <w:szCs w:val="32"/>
        </w:rPr>
        <w:t>2.2.9 在本合同服务有效期内，乙方不得在以该项目为中心半径为1公里的范围内对自然来访该项目的客户进行拦截或推荐，否则甲方有权追究乙方责任，且甲方有权单方面解除合同，造成甲方损失的（包括但不限于直接损失和间接损失），概由乙方全部承担。</w:t>
      </w:r>
    </w:p>
    <w:p>
      <w:pPr>
        <w:spacing w:line="360" w:lineRule="auto"/>
        <w:ind w:firstLine="643" w:firstLineChars="200"/>
        <w:outlineLvl w:val="0"/>
        <w:rPr>
          <w:rFonts w:ascii="仿宋" w:hAnsi="仿宋" w:eastAsia="仿宋"/>
          <w:b/>
          <w:bCs/>
          <w:sz w:val="32"/>
          <w:szCs w:val="32"/>
        </w:rPr>
      </w:pPr>
      <w:r>
        <w:rPr>
          <w:rFonts w:ascii="仿宋" w:hAnsi="仿宋" w:eastAsia="仿宋"/>
          <w:b/>
          <w:bCs/>
          <w:sz w:val="32"/>
          <w:szCs w:val="32"/>
        </w:rPr>
        <w:t>第三条  工作完成时限</w:t>
      </w:r>
    </w:p>
    <w:p>
      <w:pPr>
        <w:spacing w:line="360" w:lineRule="auto"/>
        <w:ind w:firstLine="643" w:firstLineChars="200"/>
        <w:outlineLvl w:val="0"/>
        <w:rPr>
          <w:rFonts w:ascii="仿宋" w:hAnsi="仿宋" w:eastAsia="仿宋"/>
          <w:b/>
          <w:bCs/>
          <w:sz w:val="32"/>
          <w:szCs w:val="32"/>
        </w:rPr>
      </w:pPr>
      <w:r>
        <w:rPr>
          <w:rFonts w:ascii="仿宋" w:hAnsi="仿宋" w:eastAsia="仿宋"/>
          <w:b/>
          <w:bCs/>
          <w:sz w:val="32"/>
          <w:szCs w:val="32"/>
        </w:rPr>
        <w:t>3.1 营销策划</w:t>
      </w:r>
    </w:p>
    <w:p>
      <w:pPr>
        <w:spacing w:line="360" w:lineRule="auto"/>
        <w:ind w:firstLine="640" w:firstLineChars="200"/>
        <w:outlineLvl w:val="0"/>
        <w:rPr>
          <w:rFonts w:ascii="仿宋" w:hAnsi="仿宋" w:eastAsia="仿宋"/>
          <w:sz w:val="32"/>
          <w:szCs w:val="32"/>
        </w:rPr>
      </w:pPr>
      <w:r>
        <w:rPr>
          <w:rFonts w:ascii="仿宋" w:hAnsi="仿宋" w:eastAsia="仿宋"/>
          <w:sz w:val="32"/>
          <w:szCs w:val="32"/>
        </w:rPr>
        <w:t>3.1.1自本合同签订之日起，至项目正式对外公开发售日止（具体以甲方书面通知为准），持续为项目提供策划跟踪服务，乙方根据甲方的需求，按照项目的节点计划安排和要求，完成本项目前期策划报告、项目整体营销策略报告、阶段性营销方案、市场报告、月报、周报等，并按甲方要求的文件格式如PowerPoint、WORD等形式向甲方进行专题汇报。</w:t>
      </w:r>
    </w:p>
    <w:p>
      <w:pPr>
        <w:pStyle w:val="2"/>
        <w:ind w:firstLine="640" w:firstLineChars="200"/>
        <w:rPr>
          <w:rFonts w:ascii="仿宋" w:hAnsi="仿宋" w:eastAsia="仿宋" w:cs="Times New Roman"/>
          <w:color w:val="auto"/>
          <w:kern w:val="2"/>
          <w:sz w:val="32"/>
          <w:szCs w:val="32"/>
        </w:rPr>
      </w:pPr>
      <w:r>
        <w:rPr>
          <w:rFonts w:ascii="仿宋" w:hAnsi="仿宋" w:eastAsia="仿宋" w:cs="Times New Roman"/>
          <w:color w:val="auto"/>
          <w:kern w:val="2"/>
          <w:sz w:val="32"/>
          <w:szCs w:val="32"/>
        </w:rPr>
        <w:t>3.1.2 项目正式对外发售后，乙方仍需按上述要求及标准提供营销策划服务，相关费用已综合考虑在销售代理服务费内，甲方无须再行支付。</w:t>
      </w:r>
    </w:p>
    <w:p>
      <w:pPr>
        <w:spacing w:line="360" w:lineRule="auto"/>
        <w:ind w:firstLine="578" w:firstLineChars="180"/>
        <w:rPr>
          <w:rFonts w:ascii="仿宋" w:hAnsi="仿宋" w:eastAsia="仿宋"/>
          <w:b/>
          <w:bCs/>
          <w:sz w:val="32"/>
          <w:szCs w:val="32"/>
        </w:rPr>
      </w:pPr>
      <w:r>
        <w:rPr>
          <w:rFonts w:ascii="仿宋" w:hAnsi="仿宋" w:eastAsia="仿宋"/>
          <w:b/>
          <w:bCs/>
          <w:sz w:val="32"/>
          <w:szCs w:val="32"/>
        </w:rPr>
        <w:t>3.2 销售代理</w:t>
      </w:r>
    </w:p>
    <w:p>
      <w:pPr>
        <w:spacing w:line="360" w:lineRule="auto"/>
        <w:ind w:firstLine="576" w:firstLineChars="180"/>
        <w:rPr>
          <w:rFonts w:ascii="仿宋" w:hAnsi="仿宋" w:eastAsia="仿宋"/>
          <w:sz w:val="32"/>
          <w:szCs w:val="32"/>
        </w:rPr>
      </w:pPr>
      <w:r>
        <w:rPr>
          <w:rFonts w:ascii="仿宋" w:hAnsi="仿宋" w:eastAsia="仿宋"/>
          <w:sz w:val="32"/>
          <w:szCs w:val="32"/>
        </w:rPr>
        <w:t>3.2.</w:t>
      </w:r>
      <w:r>
        <w:rPr>
          <w:rFonts w:hint="eastAsia" w:ascii="仿宋" w:hAnsi="仿宋" w:eastAsia="仿宋"/>
          <w:sz w:val="32"/>
          <w:szCs w:val="32"/>
        </w:rPr>
        <w:t>1</w:t>
      </w:r>
      <w:r>
        <w:rPr>
          <w:rFonts w:ascii="仿宋" w:hAnsi="仿宋" w:eastAsia="仿宋"/>
          <w:sz w:val="32"/>
          <w:szCs w:val="32"/>
        </w:rPr>
        <w:t xml:space="preserve"> 项目开盘后，乙方应按甲方要求及本合同约定的销售目标完成销售代理工作。</w:t>
      </w:r>
    </w:p>
    <w:p>
      <w:pPr>
        <w:spacing w:line="360" w:lineRule="auto"/>
        <w:ind w:firstLine="576" w:firstLineChars="180"/>
        <w:rPr>
          <w:rFonts w:ascii="仿宋" w:hAnsi="仿宋" w:eastAsia="仿宋"/>
          <w:sz w:val="32"/>
          <w:szCs w:val="32"/>
        </w:rPr>
      </w:pPr>
      <w:r>
        <w:rPr>
          <w:rFonts w:ascii="仿宋" w:hAnsi="仿宋" w:eastAsia="仿宋"/>
          <w:sz w:val="32"/>
          <w:szCs w:val="32"/>
        </w:rPr>
        <w:t>3.2.2销售底价：乙方根据调研结果提交项目产品定价报告及销售方案，制定每套房源价格，具体以甲方审批通过的销售方案及《一房一价表》为准。若合同执行过程确需对销售底价进行调整的，由乙方提出建议，最后以甲方审批确认为准。</w:t>
      </w:r>
    </w:p>
    <w:p>
      <w:pPr>
        <w:ind w:firstLine="640" w:firstLineChars="200"/>
        <w:rPr>
          <w:rFonts w:ascii="仿宋" w:hAnsi="仿宋" w:eastAsia="仿宋"/>
          <w:sz w:val="32"/>
          <w:szCs w:val="32"/>
        </w:rPr>
      </w:pPr>
      <w:r>
        <w:rPr>
          <w:rFonts w:ascii="仿宋" w:hAnsi="仿宋" w:eastAsia="仿宋"/>
          <w:sz w:val="32"/>
          <w:szCs w:val="32"/>
        </w:rPr>
        <w:t>3.2.3合同期内，乙方需及时向甲方书面反映客户意见和市场变化状况及提出应对措施，并于每月5日前向甲方提供上月销售工作情况总结及当月的销售工作计划。</w:t>
      </w:r>
    </w:p>
    <w:p>
      <w:pPr>
        <w:spacing w:line="360" w:lineRule="auto"/>
        <w:ind w:left="315" w:leftChars="150" w:firstLine="321" w:firstLineChars="100"/>
        <w:rPr>
          <w:rFonts w:ascii="仿宋" w:hAnsi="仿宋" w:eastAsia="仿宋"/>
          <w:b/>
          <w:bCs/>
          <w:sz w:val="32"/>
          <w:szCs w:val="32"/>
        </w:rPr>
      </w:pPr>
      <w:r>
        <w:rPr>
          <w:rFonts w:ascii="仿宋" w:hAnsi="仿宋" w:eastAsia="仿宋"/>
          <w:b/>
          <w:bCs/>
          <w:sz w:val="32"/>
          <w:szCs w:val="32"/>
        </w:rPr>
        <w:t>第四条  服务收费及付款方式</w:t>
      </w:r>
    </w:p>
    <w:p>
      <w:pPr>
        <w:spacing w:line="360" w:lineRule="auto"/>
        <w:ind w:firstLine="643" w:firstLineChars="200"/>
        <w:rPr>
          <w:rFonts w:ascii="仿宋" w:hAnsi="仿宋" w:eastAsia="仿宋"/>
          <w:sz w:val="32"/>
          <w:szCs w:val="32"/>
        </w:rPr>
      </w:pPr>
      <w:r>
        <w:rPr>
          <w:rFonts w:ascii="仿宋" w:hAnsi="仿宋" w:eastAsia="仿宋"/>
          <w:b/>
          <w:bCs/>
          <w:sz w:val="32"/>
          <w:szCs w:val="32"/>
        </w:rPr>
        <w:t>4.1营销策划服务费：</w:t>
      </w:r>
      <w:r>
        <w:rPr>
          <w:rFonts w:ascii="仿宋" w:hAnsi="仿宋" w:eastAsia="仿宋"/>
          <w:sz w:val="32"/>
          <w:szCs w:val="32"/>
        </w:rPr>
        <w:t>即自合同签订之日起，至项目取得预售许可证正式对外公开发售日止（具体以甲方书面通知为准），持续为项目提供策划跟踪服务，策划服务费包干含税总价人民币为人民币</w:t>
      </w:r>
      <w:r>
        <w:rPr>
          <w:rFonts w:ascii="仿宋" w:hAnsi="仿宋" w:eastAsia="仿宋"/>
          <w:sz w:val="32"/>
          <w:szCs w:val="32"/>
          <w:u w:val="single"/>
        </w:rPr>
        <w:t>36</w:t>
      </w:r>
      <w:r>
        <w:rPr>
          <w:rFonts w:ascii="仿宋" w:hAnsi="仿宋" w:eastAsia="仿宋"/>
          <w:sz w:val="32"/>
          <w:szCs w:val="32"/>
        </w:rPr>
        <w:t xml:space="preserve">万元，除甲方按合同约定单方解除合同时乙方须退还该费用外，本策划服务费不因任何原因变更。 </w:t>
      </w:r>
    </w:p>
    <w:p>
      <w:pPr>
        <w:spacing w:line="360" w:lineRule="auto"/>
        <w:ind w:firstLine="640" w:firstLineChars="200"/>
        <w:rPr>
          <w:rFonts w:ascii="仿宋" w:hAnsi="仿宋" w:eastAsia="仿宋"/>
          <w:sz w:val="32"/>
          <w:szCs w:val="32"/>
        </w:rPr>
      </w:pPr>
      <w:r>
        <w:rPr>
          <w:rFonts w:ascii="仿宋" w:hAnsi="仿宋" w:eastAsia="仿宋"/>
          <w:sz w:val="32"/>
          <w:szCs w:val="32"/>
        </w:rPr>
        <w:t>策划服务费付款方式：签定本合同1个月内甲方向乙方支付策划服务费的20%，签定本合同6个月内甲方向乙方支付策划服务费的60%，剩余策划服务费20%在项目取得第一期预售许可证后10日内支付。</w:t>
      </w:r>
    </w:p>
    <w:p>
      <w:pPr>
        <w:pStyle w:val="13"/>
        <w:ind w:left="359" w:leftChars="171" w:firstLine="315" w:firstLineChars="98"/>
        <w:rPr>
          <w:rFonts w:ascii="仿宋" w:hAnsi="仿宋" w:eastAsia="仿宋"/>
          <w:b/>
          <w:bCs/>
          <w:sz w:val="32"/>
          <w:szCs w:val="32"/>
        </w:rPr>
      </w:pPr>
      <w:r>
        <w:rPr>
          <w:rFonts w:ascii="仿宋" w:hAnsi="仿宋" w:eastAsia="仿宋"/>
          <w:b/>
          <w:bCs/>
          <w:sz w:val="32"/>
          <w:szCs w:val="32"/>
        </w:rPr>
        <w:t>4.2 销售代理服务费</w:t>
      </w:r>
    </w:p>
    <w:p>
      <w:pPr>
        <w:spacing w:line="260" w:lineRule="atLeast"/>
        <w:ind w:firstLine="640" w:firstLineChars="200"/>
        <w:rPr>
          <w:rFonts w:ascii="仿宋" w:hAnsi="仿宋" w:eastAsia="仿宋"/>
          <w:sz w:val="32"/>
          <w:szCs w:val="32"/>
        </w:rPr>
      </w:pPr>
      <w:r>
        <w:rPr>
          <w:rFonts w:ascii="仿宋" w:hAnsi="仿宋" w:eastAsia="仿宋"/>
          <w:sz w:val="32"/>
          <w:szCs w:val="32"/>
        </w:rPr>
        <w:t>4.2.1销售代理服务费标准：按销售成交金额（即商品房买卖合同实际回款金额）的</w:t>
      </w:r>
      <w:r>
        <w:rPr>
          <w:rFonts w:ascii="仿宋" w:hAnsi="仿宋" w:eastAsia="仿宋"/>
          <w:sz w:val="32"/>
          <w:szCs w:val="32"/>
          <w:u w:val="single"/>
        </w:rPr>
        <w:t xml:space="preserve">  1 </w:t>
      </w:r>
      <w:r>
        <w:rPr>
          <w:rFonts w:ascii="仿宋" w:hAnsi="仿宋" w:eastAsia="仿宋"/>
          <w:sz w:val="32"/>
          <w:szCs w:val="32"/>
        </w:rPr>
        <w:t>%计算；按照下述销售任务目标完成情况，最高计提标准为</w:t>
      </w:r>
      <w:r>
        <w:rPr>
          <w:rFonts w:ascii="仿宋" w:hAnsi="仿宋" w:eastAsia="仿宋"/>
          <w:sz w:val="32"/>
          <w:szCs w:val="32"/>
          <w:u w:val="single"/>
        </w:rPr>
        <w:t xml:space="preserve">  1.2% </w:t>
      </w:r>
      <w:r>
        <w:rPr>
          <w:rFonts w:ascii="仿宋" w:hAnsi="仿宋" w:eastAsia="仿宋"/>
          <w:sz w:val="32"/>
          <w:szCs w:val="32"/>
        </w:rPr>
        <w:t>。甲方按照下述各阶段乙方销售业绩完成情况对应的销售代理费计提点数及实际回款金额据实向乙方结算各阶段的销售代理服务费。</w:t>
      </w:r>
    </w:p>
    <w:p>
      <w:pPr>
        <w:pStyle w:val="2"/>
        <w:ind w:firstLine="640" w:firstLineChars="200"/>
        <w:rPr>
          <w:rFonts w:ascii="仿宋" w:hAnsi="仿宋" w:eastAsia="仿宋"/>
          <w:color w:val="auto"/>
          <w:kern w:val="2"/>
          <w:sz w:val="32"/>
          <w:szCs w:val="32"/>
        </w:rPr>
      </w:pPr>
      <w:r>
        <w:rPr>
          <w:rFonts w:ascii="仿宋" w:hAnsi="仿宋" w:eastAsia="仿宋"/>
          <w:color w:val="auto"/>
          <w:kern w:val="2"/>
          <w:sz w:val="32"/>
          <w:szCs w:val="32"/>
        </w:rPr>
        <w:t>销售任务目标如下：</w:t>
      </w:r>
    </w:p>
    <w:tbl>
      <w:tblPr>
        <w:tblStyle w:val="7"/>
        <w:tblW w:w="9066" w:type="dxa"/>
        <w:jc w:val="center"/>
        <w:tblLayout w:type="autofit"/>
        <w:tblCellMar>
          <w:top w:w="0" w:type="dxa"/>
          <w:left w:w="108" w:type="dxa"/>
          <w:bottom w:w="0" w:type="dxa"/>
          <w:right w:w="108" w:type="dxa"/>
        </w:tblCellMar>
      </w:tblPr>
      <w:tblGrid>
        <w:gridCol w:w="1350"/>
        <w:gridCol w:w="2816"/>
        <w:gridCol w:w="1980"/>
        <w:gridCol w:w="2920"/>
      </w:tblGrid>
      <w:tr>
        <w:tblPrEx>
          <w:tblCellMar>
            <w:top w:w="0" w:type="dxa"/>
            <w:left w:w="108" w:type="dxa"/>
            <w:bottom w:w="0" w:type="dxa"/>
            <w:right w:w="108" w:type="dxa"/>
          </w:tblCellMar>
        </w:tblPrEx>
        <w:trPr>
          <w:trHeight w:val="607" w:hRule="atLeast"/>
          <w:jc w:val="center"/>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阶段划分</w:t>
            </w:r>
          </w:p>
        </w:tc>
        <w:tc>
          <w:tcPr>
            <w:tcW w:w="28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销售进度</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累计须达到销售目标面积（㎡）</w:t>
            </w:r>
          </w:p>
        </w:tc>
        <w:tc>
          <w:tcPr>
            <w:tcW w:w="2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销售代理服务费计提点数</w:t>
            </w:r>
          </w:p>
        </w:tc>
      </w:tr>
      <w:tr>
        <w:tblPrEx>
          <w:tblCellMar>
            <w:top w:w="0" w:type="dxa"/>
            <w:left w:w="108" w:type="dxa"/>
            <w:bottom w:w="0" w:type="dxa"/>
            <w:right w:w="108" w:type="dxa"/>
          </w:tblCellMar>
        </w:tblPrEx>
        <w:trPr>
          <w:trHeight w:val="678" w:hRule="atLeast"/>
          <w:jc w:val="center"/>
        </w:trPr>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第一阶段</w:t>
            </w:r>
          </w:p>
        </w:tc>
        <w:tc>
          <w:tcPr>
            <w:tcW w:w="2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开盘销售3个月内（取得预售证一个月内开盘）</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4913</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完成销售目标按1.2%计提（未完成目标按1%计提）</w:t>
            </w:r>
          </w:p>
        </w:tc>
      </w:tr>
      <w:tr>
        <w:tblPrEx>
          <w:tblCellMar>
            <w:top w:w="0" w:type="dxa"/>
            <w:left w:w="108" w:type="dxa"/>
            <w:bottom w:w="0" w:type="dxa"/>
            <w:right w:w="108" w:type="dxa"/>
          </w:tblCellMar>
        </w:tblPrEx>
        <w:trPr>
          <w:trHeight w:val="677" w:hRule="atLeast"/>
          <w:jc w:val="center"/>
        </w:trPr>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第二阶段</w:t>
            </w:r>
          </w:p>
        </w:tc>
        <w:tc>
          <w:tcPr>
            <w:tcW w:w="2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第一阶段后6个月内</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9007</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完成销售目标按1.2%计提（未完成目标按1%计提）</w:t>
            </w:r>
          </w:p>
        </w:tc>
      </w:tr>
      <w:tr>
        <w:tblPrEx>
          <w:tblCellMar>
            <w:top w:w="0" w:type="dxa"/>
            <w:left w:w="108" w:type="dxa"/>
            <w:bottom w:w="0" w:type="dxa"/>
            <w:right w:w="108" w:type="dxa"/>
          </w:tblCellMar>
        </w:tblPrEx>
        <w:trPr>
          <w:trHeight w:val="684" w:hRule="atLeast"/>
          <w:jc w:val="center"/>
        </w:trPr>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第三阶段</w:t>
            </w:r>
          </w:p>
        </w:tc>
        <w:tc>
          <w:tcPr>
            <w:tcW w:w="2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第二阶段后6个月内</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13101</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完成销售目标按1.2%计提（未完成目标按1%计提）</w:t>
            </w:r>
          </w:p>
        </w:tc>
      </w:tr>
      <w:tr>
        <w:tblPrEx>
          <w:tblCellMar>
            <w:top w:w="0" w:type="dxa"/>
            <w:left w:w="108" w:type="dxa"/>
            <w:bottom w:w="0" w:type="dxa"/>
            <w:right w:w="108" w:type="dxa"/>
          </w:tblCellMar>
        </w:tblPrEx>
        <w:trPr>
          <w:trHeight w:val="687" w:hRule="atLeast"/>
          <w:jc w:val="center"/>
        </w:trPr>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第四阶段</w:t>
            </w:r>
          </w:p>
        </w:tc>
        <w:tc>
          <w:tcPr>
            <w:tcW w:w="2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第三阶段后6个月内</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16376</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完成销售目标按1.2%计提（未完成目标按1%计提）</w:t>
            </w:r>
          </w:p>
        </w:tc>
      </w:tr>
    </w:tbl>
    <w:p>
      <w:pPr>
        <w:spacing w:line="360" w:lineRule="auto"/>
        <w:ind w:firstLine="640" w:firstLineChars="200"/>
        <w:rPr>
          <w:rFonts w:ascii="仿宋" w:hAnsi="仿宋" w:eastAsia="仿宋"/>
          <w:sz w:val="32"/>
          <w:szCs w:val="32"/>
        </w:rPr>
      </w:pPr>
      <w:r>
        <w:rPr>
          <w:rStyle w:val="14"/>
          <w:rFonts w:hint="eastAsia" w:ascii="仿宋" w:hAnsi="仿宋" w:eastAsia="仿宋"/>
          <w:color w:val="auto"/>
          <w:sz w:val="32"/>
          <w:szCs w:val="32"/>
        </w:rPr>
        <w:t>若甲方启动二手渠道或其他渠道进行场外带客，甲方应向乙方提供书面告知函，说明二手渠道或其他渠道带客的起始时间及结束时间，此期间的二手渠道或其他渠道客户的场内接待和销售服务，由乙方跟进，成交单位对应的面积计入乙方销售目标面积，成交单位对应的销售代理服务费结算标准为：</w:t>
      </w:r>
      <w:r>
        <w:rPr>
          <w:rFonts w:ascii="仿宋" w:hAnsi="仿宋" w:eastAsia="仿宋"/>
          <w:sz w:val="32"/>
          <w:szCs w:val="32"/>
        </w:rPr>
        <w:t>按成交单位销售成交金额（即商品房买卖合同实际回款金额）的</w:t>
      </w:r>
      <w:r>
        <w:rPr>
          <w:rFonts w:hint="eastAsia" w:ascii="仿宋" w:hAnsi="仿宋" w:eastAsia="仿宋"/>
          <w:sz w:val="32"/>
          <w:szCs w:val="32"/>
        </w:rPr>
        <w:t>60</w:t>
      </w:r>
      <w:r>
        <w:rPr>
          <w:rFonts w:ascii="仿宋" w:hAnsi="仿宋" w:eastAsia="仿宋"/>
          <w:sz w:val="32"/>
          <w:szCs w:val="32"/>
        </w:rPr>
        <w:t>%计算</w:t>
      </w:r>
      <w:r>
        <w:rPr>
          <w:rStyle w:val="14"/>
          <w:rFonts w:hint="eastAsia" w:ascii="仿宋" w:hAnsi="仿宋" w:eastAsia="仿宋"/>
          <w:color w:val="auto"/>
          <w:sz w:val="32"/>
          <w:szCs w:val="32"/>
        </w:rPr>
        <w:t xml:space="preserve">。 </w:t>
      </w:r>
    </w:p>
    <w:p>
      <w:pPr>
        <w:spacing w:line="360" w:lineRule="auto"/>
        <w:ind w:firstLine="640" w:firstLineChars="200"/>
        <w:rPr>
          <w:rFonts w:ascii="仿宋" w:hAnsi="仿宋" w:eastAsia="仿宋"/>
          <w:sz w:val="32"/>
          <w:szCs w:val="32"/>
        </w:rPr>
      </w:pPr>
      <w:r>
        <w:rPr>
          <w:rFonts w:ascii="仿宋" w:hAnsi="仿宋" w:eastAsia="仿宋"/>
          <w:sz w:val="32"/>
          <w:szCs w:val="32"/>
        </w:rPr>
        <w:t>4.2.2 支付方式：</w:t>
      </w:r>
    </w:p>
    <w:p>
      <w:pPr>
        <w:spacing w:line="360" w:lineRule="auto"/>
        <w:ind w:firstLine="640" w:firstLineChars="200"/>
        <w:rPr>
          <w:rFonts w:ascii="仿宋" w:hAnsi="仿宋" w:eastAsia="仿宋"/>
          <w:sz w:val="32"/>
          <w:szCs w:val="32"/>
        </w:rPr>
      </w:pPr>
      <w:r>
        <w:rPr>
          <w:rFonts w:ascii="仿宋" w:hAnsi="仿宋" w:eastAsia="仿宋"/>
          <w:sz w:val="32"/>
          <w:szCs w:val="32"/>
        </w:rPr>
        <w:t>4.2.2.1一次性付款客户：在客户成功签订《商品房买卖合同》且缴付房款总额100%后按本协议4.2.1条款相应的销售代理费计提标准结算该笔交易销售代理服务费100%；</w:t>
      </w:r>
    </w:p>
    <w:p>
      <w:pPr>
        <w:spacing w:line="360" w:lineRule="auto"/>
        <w:ind w:firstLine="640" w:firstLineChars="200"/>
        <w:rPr>
          <w:rFonts w:ascii="仿宋" w:hAnsi="仿宋" w:eastAsia="仿宋"/>
          <w:sz w:val="32"/>
          <w:szCs w:val="32"/>
        </w:rPr>
      </w:pPr>
      <w:r>
        <w:rPr>
          <w:rFonts w:ascii="仿宋" w:hAnsi="仿宋" w:eastAsia="仿宋"/>
          <w:sz w:val="32"/>
          <w:szCs w:val="32"/>
        </w:rPr>
        <w:t>4.2.2.2 按揭客户：在客户成功签订《商品房买卖合同》及《按揭合同》且缴付房款首期款后，甲方根据客户已缴付首期房款并按本协议4.2.1条款相应的销售代理费计提标准向乙方支付部分销售代理服务费，在贷款银行成功放款至甲方账户后结算至该笔销售代理服务费的100%。</w:t>
      </w:r>
    </w:p>
    <w:p>
      <w:pPr>
        <w:spacing w:line="360" w:lineRule="auto"/>
        <w:ind w:firstLine="640" w:firstLineChars="200"/>
        <w:rPr>
          <w:rFonts w:ascii="仿宋" w:hAnsi="仿宋" w:eastAsia="仿宋"/>
          <w:sz w:val="32"/>
          <w:szCs w:val="32"/>
        </w:rPr>
      </w:pPr>
      <w:r>
        <w:rPr>
          <w:rFonts w:ascii="仿宋" w:hAnsi="仿宋" w:eastAsia="仿宋"/>
          <w:sz w:val="32"/>
          <w:szCs w:val="32"/>
        </w:rPr>
        <w:t>4.2.2.3分期付款客户：在客户成功签订《商品房买卖合同》后，且缴付房款首期款后，甲方根据客户已缴付首期房款并按本协议4.2.1条款相应的销售代理费计提标准向乙方支付部分销售代理服务费，剩余销售代理服务费则根据客户每期实际已缴付房款及并按本协议4.2.1条款相应的销售代理费计提标准向乙方分期支付。</w:t>
      </w:r>
    </w:p>
    <w:p>
      <w:pPr>
        <w:spacing w:line="360" w:lineRule="auto"/>
        <w:ind w:firstLine="640" w:firstLineChars="200"/>
        <w:rPr>
          <w:rFonts w:ascii="仿宋" w:hAnsi="仿宋" w:eastAsia="仿宋"/>
          <w:sz w:val="32"/>
          <w:szCs w:val="32"/>
        </w:rPr>
      </w:pPr>
      <w:r>
        <w:rPr>
          <w:rFonts w:ascii="仿宋" w:hAnsi="仿宋" w:eastAsia="仿宋"/>
          <w:sz w:val="32"/>
          <w:szCs w:val="32"/>
        </w:rPr>
        <w:t>4.2.2</w:t>
      </w:r>
      <w:r>
        <w:rPr>
          <w:rFonts w:hint="eastAsia" w:ascii="仿宋" w:hAnsi="仿宋" w:eastAsia="仿宋"/>
          <w:sz w:val="32"/>
          <w:szCs w:val="32"/>
        </w:rPr>
        <w:t>.4</w:t>
      </w:r>
      <w:r>
        <w:rPr>
          <w:rFonts w:ascii="仿宋" w:hAnsi="仿宋" w:eastAsia="仿宋"/>
          <w:sz w:val="32"/>
          <w:szCs w:val="32"/>
        </w:rPr>
        <w:t>销售代理服务费每月【 日】前由甲方按照本合同约定的销售代理费计提标准及实际回款金额据实向乙方进行销售代理服务费支付和结算。</w:t>
      </w:r>
    </w:p>
    <w:p>
      <w:pPr>
        <w:spacing w:line="360" w:lineRule="auto"/>
        <w:ind w:firstLine="640" w:firstLineChars="200"/>
        <w:rPr>
          <w:rFonts w:ascii="仿宋" w:hAnsi="仿宋" w:eastAsia="仿宋"/>
          <w:sz w:val="32"/>
          <w:szCs w:val="32"/>
        </w:rPr>
      </w:pPr>
      <w:r>
        <w:rPr>
          <w:rFonts w:ascii="仿宋" w:hAnsi="仿宋" w:eastAsia="仿宋"/>
          <w:sz w:val="32"/>
          <w:szCs w:val="32"/>
        </w:rPr>
        <w:t>4.3乙方在上述每次款项申请同时应向甲方提交与当期应收款等额的合规发票。</w:t>
      </w:r>
    </w:p>
    <w:p>
      <w:pPr>
        <w:spacing w:line="360" w:lineRule="auto"/>
        <w:ind w:left="315" w:leftChars="150" w:firstLine="321" w:firstLineChars="100"/>
        <w:rPr>
          <w:rFonts w:ascii="仿宋" w:hAnsi="仿宋" w:eastAsia="仿宋"/>
          <w:b/>
          <w:bCs/>
          <w:sz w:val="32"/>
          <w:szCs w:val="32"/>
        </w:rPr>
      </w:pPr>
      <w:r>
        <w:rPr>
          <w:rFonts w:ascii="仿宋" w:hAnsi="仿宋" w:eastAsia="仿宋"/>
          <w:b/>
          <w:bCs/>
          <w:sz w:val="32"/>
          <w:szCs w:val="32"/>
        </w:rPr>
        <w:t>第五条 甲方的权利、义务</w:t>
      </w:r>
    </w:p>
    <w:p>
      <w:pPr>
        <w:spacing w:line="360" w:lineRule="auto"/>
        <w:ind w:firstLine="640" w:firstLineChars="200"/>
        <w:rPr>
          <w:rFonts w:ascii="仿宋" w:hAnsi="仿宋" w:eastAsia="仿宋"/>
          <w:sz w:val="32"/>
          <w:szCs w:val="32"/>
        </w:rPr>
      </w:pPr>
      <w:r>
        <w:rPr>
          <w:rFonts w:ascii="仿宋" w:hAnsi="仿宋" w:eastAsia="仿宋"/>
          <w:sz w:val="32"/>
          <w:szCs w:val="32"/>
        </w:rPr>
        <w:t>5.1甲方有权就乙方提出的包括但不限于营销策划建议、销售方案（含具体定价方案、分期推盘计划等）、媒体广告资料及以甲方名义对外发布的全部文件资料等进行审核、修正、确认并享有最终决策权。</w:t>
      </w:r>
    </w:p>
    <w:p>
      <w:pPr>
        <w:spacing w:line="360" w:lineRule="auto"/>
        <w:ind w:firstLine="640" w:firstLineChars="200"/>
        <w:rPr>
          <w:rFonts w:ascii="仿宋" w:hAnsi="仿宋" w:eastAsia="仿宋"/>
          <w:sz w:val="32"/>
          <w:szCs w:val="32"/>
        </w:rPr>
      </w:pPr>
      <w:r>
        <w:rPr>
          <w:rFonts w:ascii="仿宋" w:hAnsi="仿宋" w:eastAsia="仿宋"/>
          <w:sz w:val="32"/>
          <w:szCs w:val="32"/>
        </w:rPr>
        <w:t>5.2甲方（或甲方委托的第三方）有权随时了解乙方工作进度，随时对乙方调研成果的真实性进行抽查，乙方须无条件予以配合。</w:t>
      </w:r>
    </w:p>
    <w:p>
      <w:pPr>
        <w:spacing w:line="360" w:lineRule="auto"/>
        <w:ind w:firstLine="640" w:firstLineChars="200"/>
        <w:rPr>
          <w:rFonts w:ascii="仿宋" w:hAnsi="仿宋" w:eastAsia="仿宋"/>
          <w:sz w:val="32"/>
          <w:szCs w:val="32"/>
        </w:rPr>
      </w:pPr>
      <w:r>
        <w:rPr>
          <w:rFonts w:ascii="仿宋" w:hAnsi="仿宋" w:eastAsia="仿宋"/>
          <w:sz w:val="32"/>
          <w:szCs w:val="32"/>
        </w:rPr>
        <w:t>5.3 甲方有权要求乙方提交工作进展报告及询问相关的服务内容，有权阐述对具体问题的意见和处理建议。</w:t>
      </w:r>
    </w:p>
    <w:p>
      <w:pPr>
        <w:spacing w:line="360" w:lineRule="auto"/>
        <w:ind w:firstLine="640" w:firstLineChars="200"/>
        <w:rPr>
          <w:rFonts w:ascii="仿宋" w:hAnsi="仿宋" w:eastAsia="仿宋"/>
          <w:sz w:val="32"/>
          <w:szCs w:val="32"/>
        </w:rPr>
      </w:pPr>
      <w:r>
        <w:rPr>
          <w:rFonts w:ascii="仿宋" w:hAnsi="仿宋" w:eastAsia="仿宋"/>
          <w:sz w:val="32"/>
          <w:szCs w:val="32"/>
        </w:rPr>
        <w:t>5.4 若甲方认定乙方配备的咨询专业人员不能胜任本项目工作，甲方有权要求乙方无条件更换直至满意，乙方不得提出异议。</w:t>
      </w:r>
    </w:p>
    <w:p>
      <w:pPr>
        <w:spacing w:line="360" w:lineRule="auto"/>
        <w:ind w:firstLine="640" w:firstLineChars="200"/>
        <w:rPr>
          <w:rFonts w:ascii="仿宋" w:hAnsi="仿宋" w:eastAsia="仿宋"/>
          <w:sz w:val="32"/>
          <w:szCs w:val="32"/>
        </w:rPr>
      </w:pPr>
      <w:r>
        <w:rPr>
          <w:rFonts w:ascii="仿宋" w:hAnsi="仿宋" w:eastAsia="仿宋"/>
          <w:sz w:val="32"/>
          <w:szCs w:val="32"/>
        </w:rPr>
        <w:t>5.5 甲方根据乙方需求，应及时提供咨询服务必需的资料。</w:t>
      </w:r>
    </w:p>
    <w:p>
      <w:pPr>
        <w:spacing w:line="360" w:lineRule="auto"/>
        <w:ind w:firstLine="640" w:firstLineChars="200"/>
        <w:rPr>
          <w:rFonts w:ascii="仿宋" w:hAnsi="仿宋" w:eastAsia="仿宋"/>
          <w:sz w:val="32"/>
          <w:szCs w:val="32"/>
        </w:rPr>
      </w:pPr>
      <w:r>
        <w:rPr>
          <w:rFonts w:ascii="仿宋" w:hAnsi="仿宋" w:eastAsia="仿宋"/>
          <w:sz w:val="32"/>
          <w:szCs w:val="32"/>
        </w:rPr>
        <w:t>5.6 甲方应按照合同约定的付款方式、付款时间及金额向乙方支付合同费。</w:t>
      </w:r>
    </w:p>
    <w:p>
      <w:pPr>
        <w:spacing w:line="360" w:lineRule="auto"/>
        <w:ind w:firstLine="640" w:firstLineChars="200"/>
        <w:rPr>
          <w:rFonts w:ascii="仿宋" w:hAnsi="仿宋" w:eastAsia="仿宋"/>
          <w:sz w:val="32"/>
          <w:szCs w:val="32"/>
        </w:rPr>
      </w:pPr>
      <w:r>
        <w:rPr>
          <w:rFonts w:ascii="仿宋" w:hAnsi="仿宋" w:eastAsia="仿宋"/>
          <w:sz w:val="32"/>
          <w:szCs w:val="32"/>
        </w:rPr>
        <w:t>5.7 甲方有权乙方的工作成果的整体质量进行审核并提出修改意见，乙方应无条件按甲方要求时限完成修改。</w:t>
      </w:r>
    </w:p>
    <w:p>
      <w:pPr>
        <w:spacing w:line="360" w:lineRule="auto"/>
        <w:ind w:firstLine="640" w:firstLineChars="200"/>
        <w:rPr>
          <w:rFonts w:ascii="仿宋" w:hAnsi="仿宋" w:eastAsia="仿宋"/>
          <w:sz w:val="32"/>
          <w:szCs w:val="32"/>
        </w:rPr>
      </w:pPr>
      <w:r>
        <w:rPr>
          <w:rFonts w:ascii="仿宋" w:hAnsi="仿宋" w:eastAsia="仿宋"/>
          <w:sz w:val="32"/>
          <w:szCs w:val="32"/>
        </w:rPr>
        <w:t>5.8 甲方可指定专门人员参与乙方专案小组，配合乙方工作。</w:t>
      </w:r>
    </w:p>
    <w:p>
      <w:pPr>
        <w:spacing w:line="360" w:lineRule="auto"/>
        <w:ind w:firstLine="640" w:firstLineChars="200"/>
        <w:rPr>
          <w:rFonts w:ascii="仿宋" w:hAnsi="仿宋" w:eastAsia="仿宋"/>
          <w:sz w:val="32"/>
          <w:szCs w:val="32"/>
        </w:rPr>
      </w:pPr>
      <w:r>
        <w:rPr>
          <w:rFonts w:ascii="仿宋" w:hAnsi="仿宋" w:eastAsia="仿宋"/>
          <w:sz w:val="32"/>
          <w:szCs w:val="32"/>
        </w:rPr>
        <w:t>5.9 本合同项下乙方完成的、以任何载体所体现的工作报告、图表等相关资料的知识产权均归属于甲方，甲方在本项目范围内对此知识成果享有所有权、使用权、转让权。</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.10</w:t>
      </w:r>
      <w:r>
        <w:rPr>
          <w:rFonts w:ascii="仿宋" w:hAnsi="仿宋" w:eastAsia="仿宋"/>
          <w:sz w:val="32"/>
          <w:szCs w:val="32"/>
        </w:rPr>
        <w:t xml:space="preserve"> 甲方对与买方签订的《认购书》、《商品房买卖合同》、补充协议及相关文件的起草、变更、终止享有决定权。</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.11</w:t>
      </w:r>
      <w:r>
        <w:rPr>
          <w:rFonts w:ascii="仿宋" w:hAnsi="仿宋" w:eastAsia="仿宋"/>
          <w:sz w:val="32"/>
          <w:szCs w:val="32"/>
        </w:rPr>
        <w:t xml:space="preserve"> 对按揭银行、签约律所、及物业管理公司的确定具有最终确认和决定权。</w:t>
      </w:r>
    </w:p>
    <w:p>
      <w:pPr>
        <w:spacing w:line="360" w:lineRule="auto"/>
        <w:ind w:firstLine="630" w:firstLineChars="196"/>
        <w:rPr>
          <w:rFonts w:ascii="仿宋" w:hAnsi="仿宋" w:eastAsia="仿宋"/>
          <w:b/>
          <w:bCs/>
          <w:sz w:val="32"/>
          <w:szCs w:val="32"/>
        </w:rPr>
      </w:pPr>
      <w:r>
        <w:rPr>
          <w:rFonts w:ascii="仿宋" w:hAnsi="仿宋" w:eastAsia="仿宋"/>
          <w:b/>
          <w:bCs/>
          <w:sz w:val="32"/>
          <w:szCs w:val="32"/>
        </w:rPr>
        <w:t>第六条 乙方的权利、义务</w:t>
      </w:r>
    </w:p>
    <w:p>
      <w:pPr>
        <w:spacing w:line="360" w:lineRule="auto"/>
        <w:ind w:firstLine="640" w:firstLineChars="200"/>
        <w:rPr>
          <w:rFonts w:ascii="仿宋" w:hAnsi="仿宋" w:eastAsia="仿宋"/>
          <w:sz w:val="32"/>
          <w:szCs w:val="32"/>
        </w:rPr>
      </w:pPr>
      <w:r>
        <w:rPr>
          <w:rFonts w:ascii="仿宋" w:hAnsi="仿宋" w:eastAsia="仿宋"/>
          <w:sz w:val="32"/>
          <w:szCs w:val="32"/>
        </w:rPr>
        <w:t>6.1 乙方派驻本项目的项目总负责人为</w:t>
      </w:r>
      <w:r>
        <w:rPr>
          <w:rFonts w:ascii="仿宋" w:hAnsi="仿宋" w:eastAsia="仿宋"/>
          <w:sz w:val="32"/>
          <w:szCs w:val="32"/>
          <w:u w:val="single"/>
        </w:rPr>
        <w:t xml:space="preserve">        </w:t>
      </w:r>
      <w:r>
        <w:rPr>
          <w:rFonts w:ascii="仿宋" w:hAnsi="仿宋" w:eastAsia="仿宋"/>
          <w:sz w:val="32"/>
          <w:szCs w:val="32"/>
        </w:rPr>
        <w:t>、销售负责人为</w:t>
      </w:r>
      <w:r>
        <w:rPr>
          <w:rFonts w:ascii="仿宋" w:hAnsi="仿宋" w:eastAsia="仿宋"/>
          <w:sz w:val="32"/>
          <w:szCs w:val="32"/>
          <w:u w:val="single"/>
        </w:rPr>
        <w:t xml:space="preserve">        </w:t>
      </w:r>
      <w:r>
        <w:rPr>
          <w:rFonts w:ascii="仿宋" w:hAnsi="仿宋" w:eastAsia="仿宋"/>
          <w:sz w:val="32"/>
          <w:szCs w:val="32"/>
        </w:rPr>
        <w:t>，负责与甲方就工作事宜进行沟通、联系与推动，组织专业人员形成专项服务团队（人员资历详见附件1），制定详细的工作执行计划并按照甲方审批意见实施。若因工作需要更换上述主要负责人或服务团队人员的，乙方须提前书面通知甲方，并经甲方书面同意。若甲方认为乙方委派的上述主要负责人或服务团队人员不能胜任项目工作或乙方工作产生重大工作失误，甲方有权要求更换，乙方应无条件予以撤换，且拟更换人员资历、从业经验等均不得低于前任。</w:t>
      </w:r>
    </w:p>
    <w:p>
      <w:pPr>
        <w:spacing w:line="360" w:lineRule="auto"/>
        <w:ind w:firstLine="640" w:firstLineChars="200"/>
        <w:rPr>
          <w:rFonts w:ascii="仿宋" w:hAnsi="仿宋" w:eastAsia="仿宋"/>
          <w:sz w:val="32"/>
          <w:szCs w:val="32"/>
        </w:rPr>
      </w:pPr>
      <w:r>
        <w:rPr>
          <w:rFonts w:ascii="仿宋" w:hAnsi="仿宋" w:eastAsia="仿宋"/>
          <w:sz w:val="32"/>
          <w:szCs w:val="32"/>
        </w:rPr>
        <w:t>6.2 乙方须就营销策划、销售方案等向甲方提出书面建议，并按照甲方意见及时修改完善，报甲方确定后实施。若乙方擅自实施的，则按本合同第八条承担违约责任。</w:t>
      </w:r>
    </w:p>
    <w:p>
      <w:pPr>
        <w:spacing w:line="360" w:lineRule="auto"/>
        <w:ind w:firstLine="640" w:firstLineChars="200"/>
        <w:rPr>
          <w:rFonts w:ascii="仿宋" w:hAnsi="仿宋" w:eastAsia="仿宋"/>
          <w:sz w:val="32"/>
          <w:szCs w:val="32"/>
        </w:rPr>
      </w:pPr>
      <w:r>
        <w:rPr>
          <w:rFonts w:ascii="仿宋" w:hAnsi="仿宋" w:eastAsia="仿宋"/>
          <w:sz w:val="32"/>
          <w:szCs w:val="32"/>
        </w:rPr>
        <w:t>6.3乙方负责按照甲方要求落实本项目营销的全程市场调研、策划、组织及控制；负责项目的客户资料统计工作并按照甲方要求及时甲方汇报销售情况提供相关报表；负责按照甲方要求及授权办理项目的销（预）售合同、租赁合同的签订手续及协助办理相关按揭手续、催缴房款；负责按照甲方确认的广告、制作预算，对该项目的营销进行总体策划包装，负责建议、安排及监督制作该项目的推广宣传单、模型、效果图、展览板、认购书、认购须知及其他相关销售资料，指导及督促广告、制作公司或其他第三方完成相应工作，提出和确定每期媒体广告的发布及版面安排以及相关公关及促销活动的组织计划，且事先征询甲方意见并获得甲方批准确认后方可实施；负责组织例会（原则上每周召开一次）并派本项目营销主要负责人参会；负责在项目重要销售阶段（如开盘、展销会）派项目总负责人现场指导，并协助甲方筹备各种促销活动的组织安排包括物业展销会、新闻发布会、促销活动等，并提供以上活动方案；负责从市场销售物业之角度提供相关工程实施的市场资讯意见，包括但不限于平面布置、机电设备等，以及对有关施工图纸的专业审查。</w:t>
      </w:r>
    </w:p>
    <w:p>
      <w:pPr>
        <w:spacing w:line="360" w:lineRule="auto"/>
        <w:ind w:firstLine="640" w:firstLineChars="200"/>
        <w:rPr>
          <w:rFonts w:ascii="仿宋" w:hAnsi="仿宋" w:eastAsia="仿宋"/>
          <w:sz w:val="32"/>
          <w:szCs w:val="32"/>
        </w:rPr>
      </w:pPr>
      <w:r>
        <w:rPr>
          <w:rFonts w:ascii="仿宋" w:hAnsi="仿宋" w:eastAsia="仿宋"/>
          <w:sz w:val="32"/>
          <w:szCs w:val="32"/>
        </w:rPr>
        <w:t>6.4乙方工作应坚持客观真实、严谨认真、科学合理、公正廉洁的原则，保证严守执业道德，执行国家有关法律法规要求，须严格按照销售宣传资料或者经甲方书面确认的内容，向推介客户对项目进行如实宣传和推介。乙方(含其招聘的售楼人员等)不得随意向购房客户许诺任何未经甲方批准的营销条件（含应恪守甲方规定的销售价格，非经甲方的授权，不得擅自给客户任何形式的折扣等）。如因乙方超出上述范围的说明和承诺给甲方带来任何损害的，乙方应当承担法律和经济赔偿责任；由此导致的甲方与买受人之间的纠纷，由乙方负责处理。由于乙方原因（包括但不限于乙方人员虚假承诺、房源重复销售、与客户发生严重争执等）造成购房客户退房/退定，则由乙方承担责任。</w:t>
      </w:r>
    </w:p>
    <w:p>
      <w:pPr>
        <w:spacing w:line="360" w:lineRule="auto"/>
        <w:ind w:firstLine="640" w:firstLineChars="200"/>
        <w:rPr>
          <w:rFonts w:ascii="仿宋" w:hAnsi="仿宋" w:eastAsia="仿宋"/>
          <w:sz w:val="32"/>
          <w:szCs w:val="32"/>
        </w:rPr>
      </w:pPr>
      <w:r>
        <w:rPr>
          <w:rFonts w:ascii="仿宋" w:hAnsi="仿宋" w:eastAsia="仿宋"/>
          <w:sz w:val="32"/>
          <w:szCs w:val="32"/>
        </w:rPr>
        <w:t>6.5乙方应严格依照本合同的约定向甲方提供服务，严格按照合同约定时限完成各项任务，本合同关于乙方服务工作范围、标准、要求的任何条款、本合同附件所载明的内容、乙方投标书所承诺的内容以及经甲方批准的招商方案、销售方案中有关乙方工作的内容等均构成乙方的义务。</w:t>
      </w:r>
    </w:p>
    <w:p>
      <w:pPr>
        <w:spacing w:line="360" w:lineRule="auto"/>
        <w:ind w:firstLine="640" w:firstLineChars="200"/>
        <w:rPr>
          <w:rFonts w:ascii="仿宋" w:hAnsi="仿宋" w:eastAsia="仿宋"/>
          <w:sz w:val="32"/>
          <w:szCs w:val="32"/>
        </w:rPr>
      </w:pPr>
      <w:r>
        <w:rPr>
          <w:rFonts w:ascii="仿宋" w:hAnsi="仿宋" w:eastAsia="仿宋"/>
          <w:sz w:val="32"/>
          <w:szCs w:val="32"/>
        </w:rPr>
        <w:t>6.6乙方须保证所派人员为本单位员工，且全部具备相应专业技能和执业资质。</w:t>
      </w:r>
    </w:p>
    <w:p>
      <w:pPr>
        <w:spacing w:line="360" w:lineRule="auto"/>
        <w:ind w:firstLine="640" w:firstLineChars="200"/>
        <w:rPr>
          <w:rFonts w:ascii="仿宋" w:hAnsi="仿宋" w:eastAsia="仿宋"/>
          <w:sz w:val="32"/>
          <w:szCs w:val="32"/>
        </w:rPr>
      </w:pPr>
      <w:r>
        <w:rPr>
          <w:rFonts w:ascii="仿宋" w:hAnsi="仿宋" w:eastAsia="仿宋"/>
          <w:sz w:val="32"/>
          <w:szCs w:val="32"/>
        </w:rPr>
        <w:t>6.7未经甲方书面同意，乙方禁止接受其他有关单位、个人或组织委托的与该开发项目相关咨询事宜或任何报酬，不得参与可能与本合同规定的与甲方利益相冲突的任何活动。否则，一经查实，甲方有权立即单方面解除本合同，除拒绝支付剩余咨询服务费外，并视情节轻重追究乙方所造成的一切损失和责任。</w:t>
      </w:r>
    </w:p>
    <w:p>
      <w:pPr>
        <w:spacing w:line="360" w:lineRule="auto"/>
        <w:ind w:firstLine="640" w:firstLineChars="200"/>
        <w:rPr>
          <w:rFonts w:ascii="仿宋" w:hAnsi="仿宋" w:eastAsia="仿宋"/>
          <w:sz w:val="32"/>
          <w:szCs w:val="32"/>
        </w:rPr>
      </w:pPr>
      <w:r>
        <w:rPr>
          <w:rFonts w:ascii="仿宋" w:hAnsi="仿宋" w:eastAsia="仿宋"/>
          <w:sz w:val="32"/>
          <w:szCs w:val="32"/>
        </w:rPr>
        <w:t>6.8乙方对本合同委托事项承担保密义务，不得向任何第三方泄露、披露、转让本项目相关的任何图纸、资料、数据等信息，乙方应负责约束其所有工作人员以及通过本单位知悉本工程信息的任何单位或个人，遵守本条款项下的保密义务。否则，乙方须赔偿甲方由此造成的全部损失，相关责任人还应根据有关法律责任承担相应行政或刑事责任。乙方须在本合同委托事项完成后5个工作日内将甲方提供的全套资料整理完毕并移交甲方（须开列详细清单以供核对）。</w:t>
      </w:r>
    </w:p>
    <w:p>
      <w:pPr>
        <w:spacing w:line="360" w:lineRule="auto"/>
        <w:ind w:firstLine="640" w:firstLineChars="200"/>
        <w:rPr>
          <w:rFonts w:ascii="仿宋" w:hAnsi="仿宋" w:eastAsia="仿宋"/>
          <w:sz w:val="32"/>
          <w:szCs w:val="32"/>
        </w:rPr>
      </w:pPr>
      <w:r>
        <w:rPr>
          <w:rFonts w:ascii="仿宋" w:hAnsi="仿宋" w:eastAsia="仿宋" w:cs="宋体"/>
          <w:sz w:val="32"/>
          <w:szCs w:val="32"/>
        </w:rPr>
        <w:t>6.9</w:t>
      </w:r>
      <w:r>
        <w:rPr>
          <w:rFonts w:ascii="仿宋" w:hAnsi="仿宋" w:eastAsia="仿宋"/>
          <w:sz w:val="32"/>
          <w:szCs w:val="32"/>
        </w:rPr>
        <w:t>乙方应听从甲方的意见和安排，不能作出损害甲方利益和声誉的行为，所有决策性的文件和对外宣传文案、画面应交呈甲方签章确认和备案，方可对外推广，否则甲方有权追究乙方的相应责任。</w:t>
      </w:r>
    </w:p>
    <w:p>
      <w:pPr>
        <w:spacing w:line="360" w:lineRule="auto"/>
        <w:ind w:firstLine="640" w:firstLineChars="200"/>
        <w:rPr>
          <w:rFonts w:ascii="仿宋" w:hAnsi="仿宋" w:eastAsia="仿宋"/>
          <w:sz w:val="32"/>
          <w:szCs w:val="32"/>
        </w:rPr>
      </w:pPr>
      <w:r>
        <w:rPr>
          <w:rFonts w:ascii="仿宋" w:hAnsi="仿宋" w:eastAsia="仿宋"/>
          <w:sz w:val="32"/>
          <w:szCs w:val="32"/>
        </w:rPr>
        <w:t>6.10乙方提供资料及工作成果及图表资料涉及侵犯他人知识产权的，在甲方使用过程中造成甲方被权利人追究法律责任的（包括但不限于赔款、罚款、诉讼费、律师费等）由乙方承担全部赔偿责任。</w:t>
      </w:r>
    </w:p>
    <w:p>
      <w:pPr>
        <w:spacing w:line="360" w:lineRule="auto"/>
        <w:ind w:firstLine="640" w:firstLineChars="200"/>
        <w:rPr>
          <w:rFonts w:ascii="仿宋" w:hAnsi="仿宋" w:eastAsia="仿宋"/>
          <w:sz w:val="32"/>
          <w:szCs w:val="32"/>
        </w:rPr>
      </w:pPr>
      <w:r>
        <w:rPr>
          <w:rFonts w:ascii="仿宋" w:hAnsi="仿宋" w:eastAsia="仿宋"/>
          <w:sz w:val="32"/>
          <w:szCs w:val="32"/>
        </w:rPr>
        <w:t>6.1</w:t>
      </w:r>
      <w:r>
        <w:rPr>
          <w:rFonts w:hint="eastAsia" w:ascii="仿宋" w:hAnsi="仿宋" w:eastAsia="仿宋"/>
          <w:sz w:val="32"/>
          <w:szCs w:val="32"/>
        </w:rPr>
        <w:t>1</w:t>
      </w:r>
      <w:r>
        <w:rPr>
          <w:rFonts w:ascii="仿宋" w:hAnsi="仿宋" w:eastAsia="仿宋"/>
          <w:sz w:val="32"/>
          <w:szCs w:val="32"/>
        </w:rPr>
        <w:t xml:space="preserve"> 乙方需按照本合同约定就委托范围内相关事宜进行全程跟进服务，若甲方认为必要时，乙方应出具书面意见。</w:t>
      </w:r>
    </w:p>
    <w:p>
      <w:pPr>
        <w:spacing w:line="360" w:lineRule="auto"/>
        <w:ind w:firstLine="640" w:firstLineChars="200"/>
        <w:rPr>
          <w:rFonts w:ascii="仿宋" w:hAnsi="仿宋" w:eastAsia="仿宋"/>
          <w:sz w:val="32"/>
          <w:szCs w:val="32"/>
        </w:rPr>
      </w:pPr>
      <w:r>
        <w:rPr>
          <w:rFonts w:ascii="仿宋" w:hAnsi="仿宋" w:eastAsia="仿宋"/>
          <w:sz w:val="32"/>
          <w:szCs w:val="32"/>
        </w:rPr>
        <w:t>6.12非经甲方同意，乙方不得与买方修改甲方审定的《认购书》、《商品房买卖合同》的任何条款。</w:t>
      </w:r>
    </w:p>
    <w:p>
      <w:pPr>
        <w:spacing w:line="360" w:lineRule="auto"/>
        <w:ind w:firstLine="640" w:firstLineChars="200"/>
        <w:rPr>
          <w:rFonts w:ascii="仿宋" w:hAnsi="仿宋" w:eastAsia="仿宋"/>
          <w:sz w:val="32"/>
          <w:szCs w:val="32"/>
        </w:rPr>
      </w:pPr>
      <w:r>
        <w:rPr>
          <w:rFonts w:ascii="仿宋" w:hAnsi="仿宋" w:eastAsia="仿宋"/>
          <w:sz w:val="32"/>
          <w:szCs w:val="32"/>
        </w:rPr>
        <w:t>6.13乙方负责本合同约定服务团队及销售人员的工资、代理服务费、社会保险及相应的福利；并对该物业销售现场之专案人员统一着装、统一管理、统一业务培训、严格要求，自行负责驻场服务及按照合同约定完成本项目策划、销售一切必要设备设施及其相关费用。</w:t>
      </w:r>
    </w:p>
    <w:p>
      <w:pPr>
        <w:spacing w:line="360" w:lineRule="auto"/>
        <w:ind w:firstLine="640" w:firstLineChars="200"/>
        <w:rPr>
          <w:rFonts w:ascii="仿宋" w:hAnsi="仿宋" w:eastAsia="仿宋"/>
          <w:sz w:val="32"/>
          <w:szCs w:val="32"/>
        </w:rPr>
      </w:pPr>
      <w:r>
        <w:rPr>
          <w:rFonts w:ascii="仿宋" w:hAnsi="仿宋" w:eastAsia="仿宋"/>
          <w:sz w:val="32"/>
          <w:szCs w:val="32"/>
        </w:rPr>
        <w:t>6.14乙方的推介、销售代理行为均应符合法律、法规、规章及规范性文件的规定；因乙方过错造成甲方或认购人或买受人损失的，乙方对甲方及认购人或买受人的损失负责赔偿责任。</w:t>
      </w:r>
    </w:p>
    <w:p>
      <w:pPr>
        <w:spacing w:line="360" w:lineRule="auto"/>
        <w:ind w:firstLine="640" w:firstLineChars="200"/>
        <w:rPr>
          <w:rFonts w:ascii="仿宋" w:hAnsi="仿宋" w:eastAsia="仿宋"/>
          <w:sz w:val="32"/>
          <w:szCs w:val="32"/>
        </w:rPr>
      </w:pPr>
      <w:r>
        <w:rPr>
          <w:rFonts w:ascii="仿宋" w:hAnsi="仿宋" w:eastAsia="仿宋"/>
          <w:sz w:val="32"/>
          <w:szCs w:val="32"/>
        </w:rPr>
        <w:t>6.15乙方应做好派驻本项目销售现场的工作人员及所有参与本项目销售的各门店经纪人及推介客户的人身财产安全保护措施，如上述人员在至甲方销售现场实地查看过程中发生任何损害的，乙方承担全部责任。</w:t>
      </w:r>
    </w:p>
    <w:p>
      <w:pPr>
        <w:spacing w:line="360" w:lineRule="auto"/>
        <w:ind w:firstLine="640" w:firstLineChars="200"/>
        <w:rPr>
          <w:rFonts w:ascii="仿宋" w:hAnsi="仿宋" w:eastAsia="仿宋"/>
          <w:sz w:val="32"/>
          <w:szCs w:val="32"/>
        </w:rPr>
      </w:pPr>
      <w:r>
        <w:rPr>
          <w:rFonts w:ascii="仿宋" w:hAnsi="仿宋" w:eastAsia="仿宋"/>
          <w:sz w:val="32"/>
          <w:szCs w:val="32"/>
        </w:rPr>
        <w:t>6.16乙方不得代替甲方向客户收取任何费用，否则承担由此导致的一切责任。</w:t>
      </w:r>
    </w:p>
    <w:p>
      <w:pPr>
        <w:spacing w:line="360" w:lineRule="auto"/>
        <w:ind w:firstLine="640" w:firstLineChars="200"/>
        <w:rPr>
          <w:rFonts w:ascii="仿宋" w:hAnsi="仿宋" w:eastAsia="仿宋"/>
          <w:sz w:val="32"/>
          <w:szCs w:val="32"/>
        </w:rPr>
      </w:pPr>
      <w:r>
        <w:rPr>
          <w:rFonts w:ascii="仿宋" w:hAnsi="仿宋" w:eastAsia="仿宋"/>
          <w:sz w:val="32"/>
          <w:szCs w:val="32"/>
        </w:rPr>
        <w:t>6.17乙方承诺及保证：乙方及其工作人员具备履行本合同的资质和资格，且承诺乙方及其平台或渠道均为合法合规。乙方违反本约定，视为严重违约，甲方可立即解除本合同，乙方须承担人民币伍拾万元的违约金，违约金不足赔偿甲方损失的，甲方有权进一步追索。</w:t>
      </w:r>
    </w:p>
    <w:p>
      <w:pPr>
        <w:spacing w:line="360" w:lineRule="auto"/>
        <w:ind w:left="315" w:leftChars="150" w:firstLine="321" w:firstLineChars="100"/>
        <w:rPr>
          <w:rFonts w:ascii="仿宋" w:hAnsi="仿宋" w:eastAsia="仿宋"/>
          <w:b/>
          <w:bCs/>
          <w:sz w:val="32"/>
          <w:szCs w:val="32"/>
        </w:rPr>
      </w:pPr>
      <w:r>
        <w:rPr>
          <w:rFonts w:ascii="仿宋" w:hAnsi="仿宋" w:eastAsia="仿宋"/>
          <w:b/>
          <w:bCs/>
          <w:sz w:val="32"/>
          <w:szCs w:val="32"/>
        </w:rPr>
        <w:t>第七条 甲方违约责任</w:t>
      </w:r>
    </w:p>
    <w:p>
      <w:pPr>
        <w:spacing w:line="360" w:lineRule="auto"/>
        <w:ind w:firstLine="640" w:firstLineChars="200"/>
        <w:rPr>
          <w:rFonts w:ascii="仿宋" w:hAnsi="仿宋" w:eastAsia="仿宋"/>
          <w:sz w:val="32"/>
          <w:szCs w:val="32"/>
        </w:rPr>
      </w:pPr>
      <w:r>
        <w:rPr>
          <w:rFonts w:ascii="仿宋" w:hAnsi="仿宋" w:eastAsia="仿宋"/>
          <w:sz w:val="32"/>
          <w:szCs w:val="32"/>
        </w:rPr>
        <w:t>7.1 如因甲方无正当理由未及时完成验收或出具相关整改意见，造成乙方无法按时完成工作的，则乙方完成相应工作的时间顺延。</w:t>
      </w:r>
    </w:p>
    <w:p>
      <w:pPr>
        <w:spacing w:line="360" w:lineRule="auto"/>
        <w:ind w:firstLine="640" w:firstLineChars="200"/>
        <w:rPr>
          <w:rFonts w:ascii="仿宋" w:hAnsi="仿宋" w:eastAsia="仿宋"/>
          <w:b/>
          <w:bCs/>
          <w:sz w:val="32"/>
          <w:szCs w:val="32"/>
        </w:rPr>
      </w:pPr>
      <w:r>
        <w:rPr>
          <w:rFonts w:ascii="仿宋" w:hAnsi="仿宋" w:eastAsia="仿宋"/>
          <w:sz w:val="32"/>
          <w:szCs w:val="32"/>
        </w:rPr>
        <w:t>7.2 甲方未按时向乙方支付本合同约定的相应款项，每逾期支付一个工作日，按应付未付金额万分之一向乙方支付违约金，由于乙方原因而致使甲方延迟支付服务费除外；逾期超过10日以上时，乙方有权暂停履行工作并解除合同，甲方仍须支付乙方已完成工作阶段的代理服务费。</w:t>
      </w:r>
    </w:p>
    <w:p>
      <w:pPr>
        <w:spacing w:line="360" w:lineRule="auto"/>
        <w:ind w:left="315" w:leftChars="150" w:firstLine="321" w:firstLineChars="100"/>
        <w:rPr>
          <w:rFonts w:ascii="仿宋" w:hAnsi="仿宋" w:eastAsia="仿宋"/>
          <w:b/>
          <w:bCs/>
          <w:sz w:val="32"/>
          <w:szCs w:val="32"/>
        </w:rPr>
      </w:pPr>
      <w:r>
        <w:rPr>
          <w:rFonts w:ascii="仿宋" w:hAnsi="仿宋" w:eastAsia="仿宋"/>
          <w:b/>
          <w:bCs/>
          <w:sz w:val="32"/>
          <w:szCs w:val="32"/>
        </w:rPr>
        <w:t>第八条 乙方违约责任</w:t>
      </w:r>
    </w:p>
    <w:p>
      <w:pPr>
        <w:spacing w:line="360" w:lineRule="auto"/>
        <w:ind w:firstLine="640" w:firstLineChars="200"/>
        <w:rPr>
          <w:rFonts w:ascii="仿宋" w:hAnsi="仿宋" w:eastAsia="仿宋"/>
          <w:sz w:val="32"/>
          <w:szCs w:val="32"/>
        </w:rPr>
      </w:pPr>
      <w:r>
        <w:rPr>
          <w:rFonts w:ascii="仿宋" w:hAnsi="仿宋" w:eastAsia="仿宋"/>
          <w:sz w:val="32"/>
          <w:szCs w:val="32"/>
        </w:rPr>
        <w:t>8.1 乙方未按本合同约定完成工作或提交成果文件（含工作质量、工作深度未达合同约定标准，或成果与客观事实存在严重不符等）造成延期完成委托事项的，乙方除应无条件及时按甲方要求完成整改外，每逾期一个工作日，乙方还应承担人民币3000元的违约金；如乙方整改三次以后仍未能符合甲方要求或累计逾期超过10个工作日以上时，甲方有权单方解除本合同，且剩余费用不予支付；由此造成甲方损失的，乙方应予赔偿。</w:t>
      </w:r>
    </w:p>
    <w:p>
      <w:pPr>
        <w:spacing w:line="360" w:lineRule="auto"/>
        <w:ind w:firstLine="640" w:firstLineChars="200"/>
        <w:rPr>
          <w:rFonts w:ascii="仿宋" w:hAnsi="仿宋" w:eastAsia="仿宋"/>
          <w:b/>
          <w:bCs/>
          <w:sz w:val="32"/>
          <w:szCs w:val="32"/>
        </w:rPr>
      </w:pPr>
      <w:r>
        <w:rPr>
          <w:rFonts w:ascii="仿宋" w:hAnsi="仿宋" w:eastAsia="仿宋"/>
          <w:sz w:val="32"/>
          <w:szCs w:val="32"/>
        </w:rPr>
        <w:t>8.</w:t>
      </w:r>
      <w:r>
        <w:rPr>
          <w:rFonts w:hint="eastAsia" w:ascii="仿宋" w:hAnsi="仿宋" w:eastAsia="仿宋"/>
          <w:sz w:val="32"/>
          <w:szCs w:val="32"/>
        </w:rPr>
        <w:t>2</w:t>
      </w:r>
      <w:r>
        <w:rPr>
          <w:rFonts w:ascii="仿宋" w:hAnsi="仿宋" w:eastAsia="仿宋"/>
          <w:sz w:val="32"/>
          <w:szCs w:val="32"/>
        </w:rPr>
        <w:t xml:space="preserve"> 乙方未能按合同3.1条约定的期限实现当阶段销售目标的且当阶段完成率小于50%，甲方可给予一个月的宽限期，如宽限期满仍未完成当阶段销售目标的50%，甲方有权单方解除本合同，甲方已支付的销售代理服务费即作为乙方依本合同约定应收取的全部销售代理服务费，乙方无权再向甲方收取任何费用。</w:t>
      </w:r>
    </w:p>
    <w:p>
      <w:pPr>
        <w:spacing w:line="360" w:lineRule="auto"/>
        <w:ind w:firstLine="640" w:firstLineChars="200"/>
        <w:rPr>
          <w:rFonts w:ascii="仿宋" w:hAnsi="仿宋" w:eastAsia="仿宋"/>
          <w:sz w:val="32"/>
          <w:szCs w:val="32"/>
        </w:rPr>
      </w:pPr>
      <w:r>
        <w:rPr>
          <w:rFonts w:ascii="仿宋" w:hAnsi="仿宋" w:eastAsia="仿宋"/>
          <w:sz w:val="32"/>
          <w:szCs w:val="32"/>
        </w:rPr>
        <w:t>8.3乙方未经甲方批准擅自开展营销及相关工作的，一经发现，甲方有权立即单方解除本合同，乙方还应按收取的销售代理服务费的20%向甲方支付违约金，且乙方不得再向甲方收取任何费用；由此造成甲方损失的，乙方应予赔偿。</w:t>
      </w:r>
    </w:p>
    <w:p>
      <w:pPr>
        <w:spacing w:line="360" w:lineRule="auto"/>
        <w:ind w:firstLine="640" w:firstLineChars="200"/>
        <w:rPr>
          <w:rFonts w:ascii="仿宋" w:hAnsi="仿宋" w:eastAsia="仿宋"/>
          <w:sz w:val="32"/>
          <w:szCs w:val="32"/>
        </w:rPr>
      </w:pPr>
      <w:r>
        <w:rPr>
          <w:rFonts w:ascii="仿宋" w:hAnsi="仿宋" w:eastAsia="仿宋"/>
          <w:sz w:val="32"/>
          <w:szCs w:val="32"/>
        </w:rPr>
        <w:t>8.4乙方违反本合同约定，未配备符合条件的人员（包括项目总负责人、各专项负责人或其他服务人员或销售人员）为甲方提供服务的（含乙方擅自调换人员或乙方人员擅自离岗或乙方未按甲方要求及时更换不称职人员等），乙方应支付每人次人民币叁万元的违约金给甲方。若此项违约累计达到三次，则甲方有权立即单方面解除本合同，并不予支付剩余服务费。</w:t>
      </w:r>
    </w:p>
    <w:p>
      <w:pPr>
        <w:spacing w:line="360" w:lineRule="auto"/>
        <w:ind w:firstLine="640" w:firstLineChars="200"/>
        <w:rPr>
          <w:rFonts w:ascii="仿宋" w:hAnsi="仿宋" w:eastAsia="仿宋"/>
          <w:sz w:val="32"/>
          <w:szCs w:val="32"/>
        </w:rPr>
      </w:pPr>
      <w:r>
        <w:rPr>
          <w:rFonts w:ascii="仿宋" w:hAnsi="仿宋" w:eastAsia="仿宋"/>
          <w:sz w:val="32"/>
          <w:szCs w:val="32"/>
        </w:rPr>
        <w:t>8.5乙方未按合同约定及甲方要求及时委派项目总负责人、各专项负责人或其他服务人员或销售人员参加营销例会等会议，乙方须向甲方支付每人次人民币伍千元的违约金。若此项违约每年累计达到六次，则甲方有权立即单方面解除本合同，并不予支付剩余服务费。</w:t>
      </w:r>
    </w:p>
    <w:p>
      <w:pPr>
        <w:spacing w:line="360" w:lineRule="auto"/>
        <w:ind w:firstLine="640" w:firstLineChars="200"/>
        <w:rPr>
          <w:rFonts w:ascii="仿宋" w:hAnsi="仿宋" w:eastAsia="仿宋"/>
          <w:sz w:val="32"/>
          <w:szCs w:val="32"/>
        </w:rPr>
      </w:pPr>
      <w:r>
        <w:rPr>
          <w:rFonts w:ascii="仿宋" w:hAnsi="仿宋" w:eastAsia="仿宋"/>
          <w:sz w:val="32"/>
          <w:szCs w:val="32"/>
        </w:rPr>
        <w:t>8.6未经另行委托，乙方销售人员不得代收房款，否则每发现一次按所收取金额的三倍由乙方向甲方承担违约责任，因此给甲方造成损失由乙方另行承担赔偿责任。</w:t>
      </w:r>
    </w:p>
    <w:p>
      <w:pPr>
        <w:spacing w:line="360" w:lineRule="auto"/>
        <w:ind w:firstLine="640" w:firstLineChars="200"/>
        <w:rPr>
          <w:rFonts w:ascii="仿宋" w:hAnsi="仿宋" w:eastAsia="仿宋"/>
          <w:sz w:val="32"/>
          <w:szCs w:val="32"/>
        </w:rPr>
      </w:pPr>
      <w:r>
        <w:rPr>
          <w:rFonts w:ascii="仿宋" w:hAnsi="仿宋" w:eastAsia="仿宋"/>
          <w:sz w:val="32"/>
          <w:szCs w:val="32"/>
        </w:rPr>
        <w:t>8.7 对于客户签订买卖合同后退定/退房的，待《商品房买卖合同》解除后的10个工作日内，乙方须将对应的销售代理服务费全部退还给甲方。如逾期退还，除应退还全部的销售代理费外，还应按就该房源已收销售代理服务费总额的0.5%按日支付甲方延迟给付违约金。</w:t>
      </w:r>
    </w:p>
    <w:p>
      <w:pPr>
        <w:spacing w:line="360" w:lineRule="auto"/>
        <w:ind w:firstLine="640" w:firstLineChars="200"/>
        <w:rPr>
          <w:rFonts w:ascii="仿宋" w:hAnsi="仿宋" w:eastAsia="仿宋"/>
          <w:sz w:val="32"/>
          <w:szCs w:val="32"/>
        </w:rPr>
      </w:pPr>
      <w:r>
        <w:rPr>
          <w:rFonts w:ascii="仿宋" w:hAnsi="仿宋" w:eastAsia="仿宋"/>
          <w:sz w:val="32"/>
          <w:szCs w:val="32"/>
        </w:rPr>
        <w:t>8.8 乙方违反本合同第六条任何约定的或履约不符合合同要求、甲方要求，甲方有权随时单方解除本合同，且不支付剩余销售代理服务费外，乙方应按收取的销售代理服务费的20%向甲方支付违约金，违约金不足赔偿甲方损失的，甲方有权继续追究乙方。</w:t>
      </w:r>
    </w:p>
    <w:p>
      <w:pPr>
        <w:spacing w:line="360" w:lineRule="auto"/>
        <w:ind w:firstLine="640" w:firstLineChars="200"/>
        <w:rPr>
          <w:rFonts w:ascii="仿宋" w:hAnsi="仿宋" w:eastAsia="仿宋"/>
          <w:sz w:val="32"/>
          <w:szCs w:val="32"/>
        </w:rPr>
      </w:pPr>
      <w:r>
        <w:rPr>
          <w:rFonts w:ascii="仿宋" w:hAnsi="仿宋" w:eastAsia="仿宋"/>
          <w:sz w:val="32"/>
          <w:szCs w:val="32"/>
        </w:rPr>
        <w:t>8.9 因乙方违约对甲方造成经济损失的，除按以上各条约定计算违约金外，还应赔偿造成甲方的全部经济损失。上述违约金及赔偿金，甲方有权从应支付乙方的代理服务费中直接抵扣，不足抵扣的，甲方有权继续追索。</w:t>
      </w:r>
    </w:p>
    <w:p>
      <w:pPr>
        <w:spacing w:line="360" w:lineRule="auto"/>
        <w:ind w:left="315" w:leftChars="150" w:firstLine="321" w:firstLineChars="100"/>
        <w:rPr>
          <w:rFonts w:ascii="仿宋" w:hAnsi="仿宋" w:eastAsia="仿宋"/>
          <w:b/>
          <w:bCs/>
          <w:sz w:val="32"/>
          <w:szCs w:val="32"/>
        </w:rPr>
      </w:pPr>
      <w:r>
        <w:rPr>
          <w:rFonts w:ascii="仿宋" w:hAnsi="仿宋" w:eastAsia="仿宋"/>
          <w:b/>
          <w:bCs/>
          <w:sz w:val="32"/>
          <w:szCs w:val="32"/>
        </w:rPr>
        <w:t>第九条 合同的变更、中止和终止</w:t>
      </w:r>
    </w:p>
    <w:p>
      <w:pPr>
        <w:spacing w:line="360" w:lineRule="auto"/>
        <w:ind w:firstLine="640" w:firstLineChars="200"/>
        <w:rPr>
          <w:rFonts w:ascii="仿宋" w:hAnsi="仿宋" w:eastAsia="仿宋"/>
          <w:sz w:val="32"/>
          <w:szCs w:val="32"/>
        </w:rPr>
      </w:pPr>
      <w:r>
        <w:rPr>
          <w:rFonts w:ascii="仿宋" w:hAnsi="仿宋" w:eastAsia="仿宋"/>
          <w:sz w:val="32"/>
          <w:szCs w:val="32"/>
        </w:rPr>
        <w:t>9.1 除本合同另有约定外，甲乙双方均不得擅自变更本合同。本合同的任何修改，应由双方协商一致并另行签订补充合同。</w:t>
      </w:r>
    </w:p>
    <w:p>
      <w:pPr>
        <w:spacing w:line="360" w:lineRule="auto"/>
        <w:ind w:firstLine="640" w:firstLineChars="200"/>
        <w:rPr>
          <w:rFonts w:ascii="仿宋" w:hAnsi="仿宋" w:eastAsia="仿宋"/>
          <w:sz w:val="32"/>
          <w:szCs w:val="32"/>
        </w:rPr>
      </w:pPr>
      <w:r>
        <w:rPr>
          <w:rFonts w:ascii="仿宋" w:hAnsi="仿宋" w:eastAsia="仿宋"/>
          <w:sz w:val="32"/>
          <w:szCs w:val="32"/>
        </w:rPr>
        <w:t>9.2 除本合同另有约定外，双方全部履行完毕合同规定权利、义务时，本合同自行终止。</w:t>
      </w:r>
    </w:p>
    <w:p>
      <w:pPr>
        <w:spacing w:line="360" w:lineRule="auto"/>
        <w:ind w:firstLine="640" w:firstLineChars="200"/>
        <w:rPr>
          <w:rFonts w:ascii="仿宋" w:hAnsi="仿宋" w:eastAsia="仿宋"/>
          <w:sz w:val="32"/>
          <w:szCs w:val="32"/>
        </w:rPr>
      </w:pPr>
      <w:r>
        <w:rPr>
          <w:rFonts w:ascii="仿宋" w:hAnsi="仿宋" w:eastAsia="仿宋"/>
          <w:sz w:val="32"/>
          <w:szCs w:val="32"/>
        </w:rPr>
        <w:t>9.3在本合同履行过程中，发生不可抗力影响有关条款之执行的，受影响一方应当及时书面通知对方，以减轻可能给对方造成的损失，并应当在合理期限内提供证明。因不可抗力造成合同不能履行的，合同终止后双方互不承担法律责任。</w:t>
      </w:r>
    </w:p>
    <w:p>
      <w:pPr>
        <w:spacing w:line="640" w:lineRule="atLeast"/>
        <w:ind w:right="-512" w:rightChars="-244" w:firstLine="640" w:firstLineChars="200"/>
        <w:rPr>
          <w:rFonts w:ascii="仿宋" w:hAnsi="仿宋" w:eastAsia="仿宋"/>
          <w:sz w:val="32"/>
          <w:szCs w:val="32"/>
        </w:rPr>
      </w:pPr>
      <w:r>
        <w:rPr>
          <w:rFonts w:ascii="仿宋" w:hAnsi="仿宋" w:eastAsia="仿宋"/>
          <w:sz w:val="32"/>
          <w:szCs w:val="32"/>
        </w:rPr>
        <w:t>9.4除本合同其它条款约定一方可单方解除合同的情形外，一方出现其他违约行为时，守约方向违约方发出书面通告要求修正该行为的过失，而违约方于一个月内并未作出修正的，则守约方再发出书面通告一个月内仍未修正的，守约方可在第二次书面通告送达之日起三十日后解除本合同。</w:t>
      </w:r>
    </w:p>
    <w:p>
      <w:pPr>
        <w:spacing w:line="640" w:lineRule="atLeast"/>
        <w:ind w:right="-512" w:rightChars="-244" w:firstLine="640" w:firstLineChars="200"/>
        <w:rPr>
          <w:rFonts w:ascii="仿宋" w:hAnsi="仿宋" w:eastAsia="仿宋"/>
          <w:sz w:val="32"/>
          <w:szCs w:val="32"/>
        </w:rPr>
      </w:pPr>
      <w:r>
        <w:rPr>
          <w:rFonts w:ascii="仿宋" w:hAnsi="仿宋" w:eastAsia="仿宋"/>
          <w:sz w:val="32"/>
          <w:szCs w:val="32"/>
        </w:rPr>
        <w:t>9.5 任何一方按合同约定单方解除本合同时，应向对方发出书面解除合同通知，该通知送达对方之日，即产生解除本合同的效力。</w:t>
      </w:r>
    </w:p>
    <w:p>
      <w:pPr>
        <w:spacing w:line="640" w:lineRule="atLeast"/>
        <w:ind w:right="-512" w:rightChars="-244" w:firstLine="640" w:firstLineChars="200"/>
        <w:rPr>
          <w:rFonts w:ascii="仿宋" w:hAnsi="仿宋" w:eastAsia="仿宋"/>
          <w:sz w:val="32"/>
          <w:szCs w:val="32"/>
        </w:rPr>
      </w:pPr>
      <w:r>
        <w:rPr>
          <w:rFonts w:ascii="仿宋" w:hAnsi="仿宋" w:eastAsia="仿宋"/>
          <w:sz w:val="32"/>
          <w:szCs w:val="32"/>
        </w:rPr>
        <w:t>9.6合同解除后的相关事项在本合同其他条款有具体约定的按该条款处理之外，未有具体约定的相关事项按如下规定处理：</w:t>
      </w:r>
    </w:p>
    <w:p>
      <w:pPr>
        <w:spacing w:line="640" w:lineRule="atLeast"/>
        <w:ind w:right="-512" w:rightChars="-244" w:firstLine="640" w:firstLineChars="200"/>
        <w:rPr>
          <w:rFonts w:ascii="仿宋" w:hAnsi="仿宋" w:eastAsia="仿宋"/>
          <w:sz w:val="32"/>
          <w:szCs w:val="32"/>
        </w:rPr>
      </w:pPr>
      <w:r>
        <w:rPr>
          <w:rFonts w:ascii="仿宋" w:hAnsi="仿宋" w:eastAsia="仿宋"/>
          <w:sz w:val="32"/>
          <w:szCs w:val="32"/>
        </w:rPr>
        <w:t>1）双方协商解除合同的，乙方有权不退回甲方已向乙方支付的当期代理服务费，并根据工作完成程度及合同约定，向甲方要求应收取的代理服务费用，具体数额由双方协商处理。</w:t>
      </w:r>
    </w:p>
    <w:p>
      <w:pPr>
        <w:spacing w:line="640" w:lineRule="atLeast"/>
        <w:ind w:right="-512" w:rightChars="-244" w:firstLine="640" w:firstLineChars="200"/>
        <w:rPr>
          <w:rFonts w:ascii="仿宋" w:hAnsi="仿宋" w:eastAsia="仿宋"/>
          <w:sz w:val="32"/>
          <w:szCs w:val="32"/>
        </w:rPr>
      </w:pPr>
      <w:r>
        <w:rPr>
          <w:rFonts w:ascii="仿宋" w:hAnsi="仿宋" w:eastAsia="仿宋"/>
          <w:sz w:val="32"/>
          <w:szCs w:val="32"/>
        </w:rPr>
        <w:t>2）因甲方违约，乙方按本合同约定单方解除合同的，乙方有权不退回甲方已向其支付的全部款项，并有权根据合同约定就已完成的工作向甲方要求相关费用。</w:t>
      </w:r>
    </w:p>
    <w:p>
      <w:pPr>
        <w:spacing w:line="640" w:lineRule="atLeast"/>
        <w:ind w:right="-512" w:rightChars="-244" w:firstLine="480" w:firstLineChars="150"/>
        <w:rPr>
          <w:rFonts w:ascii="仿宋" w:hAnsi="仿宋" w:eastAsia="仿宋"/>
          <w:sz w:val="32"/>
          <w:szCs w:val="32"/>
        </w:rPr>
      </w:pPr>
      <w:r>
        <w:rPr>
          <w:rFonts w:ascii="仿宋" w:hAnsi="仿宋" w:eastAsia="仿宋"/>
          <w:sz w:val="32"/>
          <w:szCs w:val="32"/>
        </w:rPr>
        <w:t>9.7 合同期限内，甲方有权随时终止本合同，甲方合同终止通知书送达乙方后本合同即终止，双方互不承担违约责任。</w:t>
      </w:r>
    </w:p>
    <w:p>
      <w:pPr>
        <w:spacing w:line="360" w:lineRule="auto"/>
        <w:ind w:left="315" w:leftChars="150" w:firstLine="321" w:firstLineChars="100"/>
        <w:rPr>
          <w:rFonts w:ascii="仿宋" w:hAnsi="仿宋" w:eastAsia="仿宋"/>
          <w:b/>
          <w:bCs/>
          <w:sz w:val="32"/>
          <w:szCs w:val="32"/>
        </w:rPr>
      </w:pPr>
      <w:r>
        <w:rPr>
          <w:rFonts w:ascii="仿宋" w:hAnsi="仿宋" w:eastAsia="仿宋"/>
          <w:b/>
          <w:bCs/>
          <w:sz w:val="32"/>
          <w:szCs w:val="32"/>
        </w:rPr>
        <w:t>第十条 其它</w:t>
      </w:r>
    </w:p>
    <w:p>
      <w:pPr>
        <w:spacing w:line="640" w:lineRule="atLeast"/>
        <w:ind w:left="29" w:leftChars="14" w:right="-512" w:rightChars="-244" w:firstLine="640" w:firstLineChars="200"/>
        <w:rPr>
          <w:rFonts w:ascii="仿宋" w:hAnsi="仿宋" w:eastAsia="仿宋"/>
          <w:sz w:val="32"/>
          <w:szCs w:val="32"/>
        </w:rPr>
      </w:pPr>
      <w:r>
        <w:rPr>
          <w:rFonts w:ascii="仿宋" w:hAnsi="仿宋" w:eastAsia="仿宋"/>
          <w:sz w:val="32"/>
          <w:szCs w:val="32"/>
        </w:rPr>
        <w:t>10.1 乙方竞投中向甲方提交的文件为本合同附件，与本合同具有相同的法律效力。如附件内容与本合同内容有矛盾时，以本合同书所载条款为准。</w:t>
      </w:r>
    </w:p>
    <w:p>
      <w:pPr>
        <w:spacing w:line="640" w:lineRule="atLeast"/>
        <w:ind w:left="29" w:leftChars="14" w:right="-512" w:rightChars="-244" w:firstLine="640" w:firstLineChars="200"/>
        <w:rPr>
          <w:rFonts w:ascii="仿宋" w:hAnsi="仿宋" w:eastAsia="仿宋"/>
          <w:sz w:val="32"/>
          <w:szCs w:val="32"/>
        </w:rPr>
      </w:pPr>
      <w:r>
        <w:rPr>
          <w:rFonts w:ascii="仿宋" w:hAnsi="仿宋" w:eastAsia="仿宋"/>
          <w:sz w:val="32"/>
          <w:szCs w:val="32"/>
        </w:rPr>
        <w:t>10.2 本合同适用法律为中华人民共和国法律，合同履行过程中发生争议，甲乙双方应及时协商解决；协商不成的，提交甲方所在地人民法院诉讼解决。</w:t>
      </w:r>
    </w:p>
    <w:p>
      <w:pPr>
        <w:spacing w:line="640" w:lineRule="atLeast"/>
        <w:ind w:left="29" w:leftChars="14" w:right="-512" w:rightChars="-244" w:firstLine="640" w:firstLineChars="200"/>
        <w:rPr>
          <w:rFonts w:ascii="仿宋" w:hAnsi="仿宋" w:eastAsia="仿宋"/>
          <w:sz w:val="32"/>
          <w:szCs w:val="32"/>
        </w:rPr>
      </w:pPr>
      <w:r>
        <w:rPr>
          <w:rFonts w:ascii="仿宋" w:hAnsi="仿宋" w:eastAsia="仿宋"/>
          <w:sz w:val="32"/>
          <w:szCs w:val="32"/>
        </w:rPr>
        <w:t>10.3 双方的书面通知均须发往本合同中指定的通讯地址，由对方人员签收后即视为送达；双方的文件如通过传真或网络邮件方式传送，则以文件进入对方指定联系人的传真号码或网络邮箱，视为送达。如双方联系人信息有变化，须提前七天书面通知对方，否则视为未有变化。</w:t>
      </w:r>
    </w:p>
    <w:p>
      <w:pPr>
        <w:spacing w:line="640" w:lineRule="atLeast"/>
        <w:ind w:left="29" w:leftChars="14" w:right="-512" w:rightChars="-244" w:firstLine="640" w:firstLineChars="200"/>
        <w:rPr>
          <w:rFonts w:ascii="仿宋" w:hAnsi="仿宋" w:eastAsia="仿宋"/>
          <w:sz w:val="32"/>
          <w:szCs w:val="32"/>
        </w:rPr>
      </w:pPr>
      <w:r>
        <w:rPr>
          <w:rFonts w:ascii="仿宋" w:hAnsi="仿宋" w:eastAsia="仿宋"/>
          <w:sz w:val="32"/>
          <w:szCs w:val="32"/>
        </w:rPr>
        <w:t>10.4 本合同自双方法定代表人或授权代表签字并加盖公章之日起生效。</w:t>
      </w:r>
    </w:p>
    <w:p>
      <w:pPr>
        <w:spacing w:line="640" w:lineRule="atLeast"/>
        <w:ind w:left="29" w:leftChars="14" w:right="-512" w:rightChars="-244" w:firstLine="640" w:firstLineChars="200"/>
        <w:rPr>
          <w:rFonts w:ascii="仿宋" w:hAnsi="仿宋" w:eastAsia="仿宋"/>
          <w:sz w:val="32"/>
          <w:szCs w:val="32"/>
        </w:rPr>
      </w:pPr>
      <w:r>
        <w:rPr>
          <w:rFonts w:ascii="仿宋" w:hAnsi="仿宋" w:eastAsia="仿宋"/>
          <w:sz w:val="32"/>
          <w:szCs w:val="32"/>
        </w:rPr>
        <w:t>10.5 本合同一式</w:t>
      </w:r>
      <w:r>
        <w:rPr>
          <w:rFonts w:ascii="仿宋" w:hAnsi="仿宋" w:eastAsia="仿宋"/>
          <w:sz w:val="32"/>
          <w:szCs w:val="32"/>
          <w:u w:val="single"/>
        </w:rPr>
        <w:t>陆</w:t>
      </w:r>
      <w:r>
        <w:rPr>
          <w:rFonts w:ascii="仿宋" w:hAnsi="仿宋" w:eastAsia="仿宋"/>
          <w:sz w:val="32"/>
          <w:szCs w:val="32"/>
        </w:rPr>
        <w:t>份，甲执肆份，乙方执贰份，具有同等法律效力。</w:t>
      </w:r>
    </w:p>
    <w:p>
      <w:pPr>
        <w:spacing w:line="640" w:lineRule="atLeast"/>
        <w:ind w:left="780" w:leftChars="371" w:right="-512" w:rightChars="-244" w:hanging="1"/>
        <w:rPr>
          <w:rFonts w:ascii="仿宋" w:hAnsi="仿宋" w:eastAsia="仿宋"/>
          <w:sz w:val="32"/>
          <w:szCs w:val="32"/>
        </w:rPr>
      </w:pPr>
      <w:r>
        <w:rPr>
          <w:rFonts w:ascii="仿宋" w:hAnsi="仿宋" w:eastAsia="仿宋"/>
          <w:sz w:val="32"/>
          <w:szCs w:val="32"/>
        </w:rPr>
        <w:t>附件：1.乙方主要服务团队人员名单及资历简介</w:t>
      </w:r>
    </w:p>
    <w:p>
      <w:pPr>
        <w:spacing w:line="640" w:lineRule="atLeast"/>
        <w:rPr>
          <w:rFonts w:ascii="仿宋" w:hAnsi="仿宋" w:eastAsia="仿宋"/>
          <w:sz w:val="32"/>
          <w:szCs w:val="32"/>
        </w:rPr>
      </w:pPr>
      <w:r>
        <w:rPr>
          <w:rFonts w:ascii="仿宋" w:hAnsi="仿宋" w:eastAsia="仿宋"/>
          <w:sz w:val="32"/>
          <w:szCs w:val="32"/>
        </w:rPr>
        <w:t xml:space="preserve"> </w:t>
      </w:r>
    </w:p>
    <w:p>
      <w:pPr>
        <w:spacing w:line="640" w:lineRule="atLeast"/>
        <w:rPr>
          <w:rFonts w:ascii="仿宋" w:hAnsi="仿宋" w:eastAsia="仿宋"/>
          <w:sz w:val="32"/>
          <w:szCs w:val="32"/>
        </w:rPr>
      </w:pPr>
      <w:r>
        <w:rPr>
          <w:rFonts w:ascii="仿宋" w:hAnsi="仿宋" w:eastAsia="仿宋"/>
          <w:sz w:val="32"/>
          <w:szCs w:val="32"/>
        </w:rPr>
        <w:t xml:space="preserve">委托方：                      受托方： </w:t>
      </w:r>
    </w:p>
    <w:p>
      <w:pPr>
        <w:spacing w:line="640" w:lineRule="atLeast"/>
        <w:rPr>
          <w:rFonts w:ascii="仿宋" w:hAnsi="仿宋" w:eastAsia="仿宋"/>
          <w:sz w:val="32"/>
          <w:szCs w:val="32"/>
        </w:rPr>
      </w:pPr>
      <w:r>
        <w:rPr>
          <w:rFonts w:ascii="仿宋" w:hAnsi="仿宋" w:eastAsia="仿宋"/>
          <w:sz w:val="32"/>
          <w:szCs w:val="32"/>
        </w:rPr>
        <w:t xml:space="preserve">                 </w:t>
      </w:r>
    </w:p>
    <w:p>
      <w:pPr>
        <w:spacing w:before="156" w:beforeLines="50" w:after="156" w:afterLines="50" w:line="640" w:lineRule="atLeast"/>
        <w:rPr>
          <w:rFonts w:ascii="仿宋" w:hAnsi="仿宋" w:eastAsia="仿宋"/>
          <w:sz w:val="32"/>
          <w:szCs w:val="32"/>
        </w:rPr>
      </w:pPr>
      <w:r>
        <w:rPr>
          <w:rFonts w:ascii="仿宋" w:hAnsi="仿宋" w:eastAsia="仿宋"/>
          <w:sz w:val="32"/>
          <w:szCs w:val="32"/>
        </w:rPr>
        <w:t>法定代表人（签章）：</w:t>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 xml:space="preserve">       法定代表人（签章）：</w:t>
      </w:r>
    </w:p>
    <w:p>
      <w:pPr>
        <w:spacing w:after="156" w:afterLines="50" w:line="640" w:lineRule="atLeast"/>
        <w:rPr>
          <w:rFonts w:ascii="仿宋" w:hAnsi="仿宋" w:eastAsia="仿宋"/>
          <w:sz w:val="32"/>
          <w:szCs w:val="32"/>
        </w:rPr>
      </w:pPr>
      <w:r>
        <w:rPr>
          <w:rFonts w:ascii="仿宋" w:hAnsi="仿宋" w:eastAsia="仿宋"/>
          <w:sz w:val="32"/>
          <w:szCs w:val="32"/>
        </w:rPr>
        <w:t>项目经办人：</w:t>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 xml:space="preserve">       </w:t>
      </w:r>
      <w:r>
        <w:rPr>
          <w:rFonts w:ascii="仿宋" w:hAnsi="仿宋" w:eastAsia="仿宋"/>
          <w:sz w:val="32"/>
          <w:szCs w:val="32"/>
        </w:rPr>
        <w:tab/>
      </w:r>
      <w:r>
        <w:rPr>
          <w:rFonts w:ascii="仿宋" w:hAnsi="仿宋" w:eastAsia="仿宋"/>
          <w:sz w:val="32"/>
          <w:szCs w:val="32"/>
        </w:rPr>
        <w:t xml:space="preserve">  项目经理：</w:t>
      </w:r>
    </w:p>
    <w:p>
      <w:pPr>
        <w:spacing w:line="640" w:lineRule="atLeast"/>
        <w:rPr>
          <w:rFonts w:ascii="仿宋" w:hAnsi="仿宋" w:eastAsia="仿宋"/>
          <w:sz w:val="32"/>
          <w:szCs w:val="32"/>
        </w:rPr>
      </w:pPr>
      <w:r>
        <w:rPr>
          <w:rFonts w:ascii="仿宋" w:hAnsi="仿宋" w:eastAsia="仿宋"/>
          <w:sz w:val="32"/>
          <w:szCs w:val="32"/>
        </w:rPr>
        <w:t>地址：                        地址：</w:t>
      </w:r>
    </w:p>
    <w:p>
      <w:pPr>
        <w:spacing w:line="640" w:lineRule="atLeast"/>
        <w:rPr>
          <w:rFonts w:ascii="仿宋" w:hAnsi="仿宋" w:eastAsia="仿宋"/>
          <w:sz w:val="32"/>
          <w:szCs w:val="32"/>
        </w:rPr>
      </w:pPr>
      <w:r>
        <w:rPr>
          <w:rFonts w:ascii="仿宋" w:hAnsi="仿宋" w:eastAsia="仿宋"/>
          <w:sz w:val="32"/>
          <w:szCs w:val="32"/>
        </w:rPr>
        <w:t xml:space="preserve">邮政编码：  </w:t>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 xml:space="preserve">            邮政编码：</w:t>
      </w:r>
    </w:p>
    <w:p>
      <w:pPr>
        <w:spacing w:line="640" w:lineRule="atLeast"/>
        <w:rPr>
          <w:rFonts w:ascii="仿宋" w:hAnsi="仿宋" w:eastAsia="仿宋"/>
          <w:sz w:val="32"/>
          <w:szCs w:val="32"/>
        </w:rPr>
      </w:pPr>
      <w:r>
        <w:rPr>
          <w:rFonts w:ascii="仿宋" w:hAnsi="仿宋" w:eastAsia="仿宋"/>
          <w:sz w:val="32"/>
          <w:szCs w:val="32"/>
        </w:rPr>
        <w:t xml:space="preserve">电话：          </w:t>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 xml:space="preserve">    电话：</w:t>
      </w:r>
    </w:p>
    <w:p>
      <w:pPr>
        <w:spacing w:line="640" w:lineRule="atLeast"/>
        <w:rPr>
          <w:rFonts w:ascii="仿宋" w:hAnsi="仿宋" w:eastAsia="仿宋"/>
          <w:sz w:val="32"/>
          <w:szCs w:val="32"/>
        </w:rPr>
      </w:pPr>
      <w:r>
        <w:rPr>
          <w:rFonts w:ascii="仿宋" w:hAnsi="仿宋" w:eastAsia="仿宋"/>
          <w:sz w:val="32"/>
          <w:szCs w:val="32"/>
        </w:rPr>
        <w:t xml:space="preserve">传真：                </w:t>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 xml:space="preserve"> 传真：</w:t>
      </w:r>
    </w:p>
    <w:p>
      <w:pPr>
        <w:spacing w:line="640" w:lineRule="atLeast"/>
        <w:rPr>
          <w:rFonts w:ascii="仿宋" w:hAnsi="仿宋" w:eastAsia="仿宋"/>
          <w:sz w:val="32"/>
          <w:szCs w:val="32"/>
        </w:rPr>
      </w:pPr>
      <w:r>
        <w:rPr>
          <w:rFonts w:ascii="仿宋" w:hAnsi="仿宋" w:eastAsia="仿宋"/>
          <w:sz w:val="32"/>
          <w:szCs w:val="32"/>
        </w:rPr>
        <w:t>开户银行：</w:t>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 xml:space="preserve">   开户银行： </w:t>
      </w:r>
    </w:p>
    <w:p>
      <w:pPr>
        <w:spacing w:line="640" w:lineRule="atLeast"/>
        <w:rPr>
          <w:rFonts w:ascii="仿宋" w:hAnsi="仿宋" w:eastAsia="仿宋"/>
          <w:sz w:val="32"/>
          <w:szCs w:val="32"/>
        </w:rPr>
      </w:pPr>
      <w:r>
        <w:rPr>
          <w:rFonts w:ascii="仿宋" w:hAnsi="仿宋" w:eastAsia="仿宋"/>
          <w:sz w:val="32"/>
          <w:szCs w:val="32"/>
        </w:rPr>
        <w:t>银行帐号：</w:t>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 xml:space="preserve"> </w:t>
      </w:r>
      <w:r>
        <w:rPr>
          <w:rFonts w:ascii="仿宋" w:hAnsi="仿宋" w:eastAsia="仿宋"/>
          <w:sz w:val="32"/>
          <w:szCs w:val="32"/>
        </w:rPr>
        <w:tab/>
      </w:r>
      <w:r>
        <w:rPr>
          <w:rFonts w:ascii="仿宋" w:hAnsi="仿宋" w:eastAsia="仿宋"/>
          <w:sz w:val="32"/>
          <w:szCs w:val="32"/>
        </w:rPr>
        <w:t xml:space="preserve">   银行帐号：</w:t>
      </w:r>
    </w:p>
    <w:p>
      <w:pPr>
        <w:spacing w:line="640" w:lineRule="atLeast"/>
        <w:rPr>
          <w:rFonts w:ascii="仿宋" w:hAnsi="仿宋" w:eastAsia="仿宋"/>
          <w:sz w:val="32"/>
          <w:szCs w:val="32"/>
        </w:rPr>
      </w:pPr>
      <w:r>
        <w:rPr>
          <w:rFonts w:ascii="仿宋" w:hAnsi="仿宋" w:eastAsia="仿宋"/>
          <w:sz w:val="32"/>
          <w:szCs w:val="32"/>
        </w:rPr>
        <w:t>签订日期：   年   月  日   签订日期：  年  月  日</w:t>
      </w:r>
    </w:p>
    <w:p>
      <w:pPr>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附件1：</w:t>
      </w:r>
    </w:p>
    <w:p>
      <w:pPr>
        <w:spacing w:line="480" w:lineRule="auto"/>
        <w:jc w:val="center"/>
        <w:rPr>
          <w:rFonts w:ascii="仿宋" w:hAnsi="仿宋" w:eastAsia="仿宋"/>
          <w:sz w:val="32"/>
          <w:szCs w:val="32"/>
        </w:rPr>
      </w:pPr>
      <w:r>
        <w:rPr>
          <w:rFonts w:ascii="仿宋" w:hAnsi="仿宋" w:eastAsia="仿宋"/>
          <w:sz w:val="32"/>
          <w:szCs w:val="32"/>
        </w:rPr>
        <w:t>主要服务团队人员名单及资历简介</w:t>
      </w:r>
    </w:p>
    <w:tbl>
      <w:tblPr>
        <w:tblStyle w:val="7"/>
        <w:tblW w:w="0" w:type="auto"/>
        <w:jc w:val="center"/>
        <w:tblLayout w:type="fixed"/>
        <w:tblCellMar>
          <w:top w:w="0" w:type="dxa"/>
          <w:left w:w="108" w:type="dxa"/>
          <w:bottom w:w="0" w:type="dxa"/>
          <w:right w:w="108" w:type="dxa"/>
        </w:tblCellMar>
      </w:tblPr>
      <w:tblGrid>
        <w:gridCol w:w="826"/>
        <w:gridCol w:w="1078"/>
        <w:gridCol w:w="719"/>
        <w:gridCol w:w="898"/>
        <w:gridCol w:w="719"/>
        <w:gridCol w:w="823"/>
        <w:gridCol w:w="1078"/>
        <w:gridCol w:w="1333"/>
        <w:gridCol w:w="1258"/>
        <w:gridCol w:w="943"/>
      </w:tblGrid>
      <w:tr>
        <w:tblPrEx>
          <w:tblCellMar>
            <w:top w:w="0" w:type="dxa"/>
            <w:left w:w="108" w:type="dxa"/>
            <w:bottom w:w="0" w:type="dxa"/>
            <w:right w:w="108" w:type="dxa"/>
          </w:tblCellMar>
        </w:tblPrEx>
        <w:trPr>
          <w:cantSplit/>
          <w:trHeight w:val="592" w:hRule="atLeast"/>
          <w:jc w:val="center"/>
        </w:trPr>
        <w:tc>
          <w:tcPr>
            <w:tcW w:w="826" w:type="dxa"/>
            <w:vMerge w:val="restart"/>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cs="Arial"/>
                <w:sz w:val="24"/>
                <w:szCs w:val="24"/>
              </w:rPr>
            </w:pPr>
            <w:r>
              <w:rPr>
                <w:rFonts w:ascii="仿宋" w:hAnsi="仿宋" w:eastAsia="仿宋"/>
                <w:sz w:val="24"/>
                <w:szCs w:val="24"/>
              </w:rPr>
              <w:t>序号</w:t>
            </w:r>
          </w:p>
        </w:tc>
        <w:tc>
          <w:tcPr>
            <w:tcW w:w="1078" w:type="dxa"/>
            <w:vMerge w:val="restart"/>
            <w:tcBorders>
              <w:top w:val="single" w:color="auto" w:sz="4" w:space="0"/>
              <w:left w:val="nil"/>
              <w:bottom w:val="single" w:color="auto" w:sz="8" w:space="0"/>
              <w:right w:val="single" w:color="auto" w:sz="8" w:space="0"/>
            </w:tcBorders>
            <w:vAlign w:val="center"/>
          </w:tcPr>
          <w:p>
            <w:pPr>
              <w:jc w:val="center"/>
              <w:rPr>
                <w:rFonts w:ascii="仿宋" w:hAnsi="仿宋" w:eastAsia="仿宋" w:cs="Arial"/>
                <w:sz w:val="24"/>
                <w:szCs w:val="24"/>
              </w:rPr>
            </w:pPr>
            <w:r>
              <w:rPr>
                <w:rFonts w:ascii="仿宋" w:hAnsi="仿宋" w:eastAsia="仿宋"/>
                <w:sz w:val="24"/>
                <w:szCs w:val="24"/>
              </w:rPr>
              <w:t>姓名</w:t>
            </w:r>
          </w:p>
        </w:tc>
        <w:tc>
          <w:tcPr>
            <w:tcW w:w="719" w:type="dxa"/>
            <w:vMerge w:val="restart"/>
            <w:tcBorders>
              <w:top w:val="single" w:color="auto" w:sz="4" w:space="0"/>
              <w:left w:val="nil"/>
              <w:bottom w:val="single" w:color="auto" w:sz="8" w:space="0"/>
              <w:right w:val="single" w:color="auto" w:sz="4" w:space="0"/>
            </w:tcBorders>
            <w:vAlign w:val="center"/>
          </w:tcPr>
          <w:p>
            <w:pPr>
              <w:jc w:val="center"/>
              <w:rPr>
                <w:rFonts w:ascii="仿宋" w:hAnsi="仿宋" w:eastAsia="仿宋" w:cs="Arial"/>
                <w:sz w:val="24"/>
                <w:szCs w:val="24"/>
              </w:rPr>
            </w:pPr>
            <w:r>
              <w:rPr>
                <w:rFonts w:ascii="仿宋" w:hAnsi="仿宋" w:eastAsia="仿宋"/>
                <w:sz w:val="24"/>
                <w:szCs w:val="24"/>
              </w:rPr>
              <w:t>性别</w:t>
            </w:r>
          </w:p>
        </w:tc>
        <w:tc>
          <w:tcPr>
            <w:tcW w:w="898" w:type="dxa"/>
            <w:vMerge w:val="restart"/>
            <w:tcBorders>
              <w:top w:val="single" w:color="auto" w:sz="4" w:space="0"/>
              <w:left w:val="nil"/>
              <w:bottom w:val="single" w:color="auto" w:sz="8" w:space="0"/>
              <w:right w:val="single" w:color="auto" w:sz="4" w:space="0"/>
            </w:tcBorders>
            <w:vAlign w:val="center"/>
          </w:tcPr>
          <w:p>
            <w:pPr>
              <w:jc w:val="center"/>
              <w:rPr>
                <w:rFonts w:ascii="仿宋" w:hAnsi="仿宋" w:eastAsia="仿宋" w:cs="Arial"/>
                <w:sz w:val="24"/>
                <w:szCs w:val="24"/>
              </w:rPr>
            </w:pPr>
            <w:r>
              <w:rPr>
                <w:rFonts w:ascii="仿宋" w:hAnsi="仿宋" w:eastAsia="仿宋"/>
                <w:sz w:val="24"/>
                <w:szCs w:val="24"/>
              </w:rPr>
              <w:t>出生年月</w:t>
            </w:r>
          </w:p>
        </w:tc>
        <w:tc>
          <w:tcPr>
            <w:tcW w:w="719" w:type="dxa"/>
            <w:vMerge w:val="restart"/>
            <w:tcBorders>
              <w:top w:val="single" w:color="auto" w:sz="4" w:space="0"/>
              <w:left w:val="nil"/>
              <w:bottom w:val="single" w:color="auto" w:sz="8" w:space="0"/>
              <w:right w:val="single" w:color="auto" w:sz="4" w:space="0"/>
            </w:tcBorders>
            <w:vAlign w:val="center"/>
          </w:tcPr>
          <w:p>
            <w:pPr>
              <w:jc w:val="center"/>
              <w:rPr>
                <w:rFonts w:ascii="仿宋" w:hAnsi="仿宋" w:eastAsia="仿宋" w:cs="Arial"/>
                <w:sz w:val="24"/>
                <w:szCs w:val="24"/>
              </w:rPr>
            </w:pPr>
            <w:r>
              <w:rPr>
                <w:rFonts w:ascii="仿宋" w:hAnsi="仿宋" w:eastAsia="仿宋"/>
                <w:sz w:val="24"/>
                <w:szCs w:val="24"/>
              </w:rPr>
              <w:t>学历</w:t>
            </w:r>
          </w:p>
        </w:tc>
        <w:tc>
          <w:tcPr>
            <w:tcW w:w="823" w:type="dxa"/>
            <w:vMerge w:val="restart"/>
            <w:tcBorders>
              <w:top w:val="single" w:color="auto" w:sz="4" w:space="0"/>
              <w:left w:val="nil"/>
              <w:bottom w:val="single" w:color="auto" w:sz="8" w:space="0"/>
              <w:right w:val="single" w:color="auto" w:sz="8" w:space="0"/>
            </w:tcBorders>
            <w:vAlign w:val="center"/>
          </w:tcPr>
          <w:p>
            <w:pPr>
              <w:jc w:val="center"/>
              <w:rPr>
                <w:rFonts w:ascii="仿宋" w:hAnsi="仿宋" w:eastAsia="仿宋" w:cs="Arial"/>
                <w:sz w:val="24"/>
                <w:szCs w:val="24"/>
              </w:rPr>
            </w:pPr>
            <w:r>
              <w:rPr>
                <w:rFonts w:ascii="仿宋" w:hAnsi="仿宋" w:eastAsia="仿宋"/>
                <w:sz w:val="24"/>
                <w:szCs w:val="24"/>
              </w:rPr>
              <w:t>专业</w:t>
            </w:r>
          </w:p>
        </w:tc>
        <w:tc>
          <w:tcPr>
            <w:tcW w:w="1078" w:type="dxa"/>
            <w:vMerge w:val="restart"/>
            <w:tcBorders>
              <w:top w:val="single" w:color="auto" w:sz="4" w:space="0"/>
              <w:left w:val="nil"/>
              <w:bottom w:val="single" w:color="auto" w:sz="8" w:space="0"/>
              <w:right w:val="single" w:color="auto" w:sz="8" w:space="0"/>
            </w:tcBorders>
            <w:vAlign w:val="center"/>
          </w:tcPr>
          <w:p>
            <w:pPr>
              <w:jc w:val="center"/>
              <w:rPr>
                <w:rFonts w:ascii="仿宋" w:hAnsi="仿宋" w:eastAsia="仿宋" w:cs="Arial"/>
                <w:sz w:val="24"/>
                <w:szCs w:val="24"/>
              </w:rPr>
            </w:pPr>
            <w:r>
              <w:rPr>
                <w:rFonts w:ascii="仿宋" w:hAnsi="仿宋" w:eastAsia="仿宋"/>
                <w:sz w:val="24"/>
                <w:szCs w:val="24"/>
              </w:rPr>
              <w:t>职称</w:t>
            </w:r>
          </w:p>
        </w:tc>
        <w:tc>
          <w:tcPr>
            <w:tcW w:w="2591" w:type="dxa"/>
            <w:gridSpan w:val="2"/>
            <w:tcBorders>
              <w:top w:val="single" w:color="auto" w:sz="4" w:space="0"/>
              <w:left w:val="nil"/>
              <w:bottom w:val="single" w:color="auto" w:sz="8" w:space="0"/>
              <w:right w:val="single" w:color="auto" w:sz="8" w:space="0"/>
            </w:tcBorders>
            <w:vAlign w:val="center"/>
          </w:tcPr>
          <w:p>
            <w:pPr>
              <w:jc w:val="center"/>
              <w:rPr>
                <w:rFonts w:ascii="仿宋" w:hAnsi="仿宋" w:eastAsia="仿宋" w:cs="Arial"/>
                <w:sz w:val="24"/>
                <w:szCs w:val="24"/>
              </w:rPr>
            </w:pPr>
            <w:r>
              <w:rPr>
                <w:rFonts w:ascii="仿宋" w:hAnsi="仿宋" w:eastAsia="仿宋"/>
                <w:sz w:val="24"/>
                <w:szCs w:val="24"/>
              </w:rPr>
              <w:t>执业资格证明</w:t>
            </w:r>
          </w:p>
        </w:tc>
        <w:tc>
          <w:tcPr>
            <w:tcW w:w="943" w:type="dxa"/>
            <w:vMerge w:val="restart"/>
            <w:tcBorders>
              <w:top w:val="single" w:color="auto" w:sz="4" w:space="0"/>
              <w:left w:val="nil"/>
              <w:bottom w:val="single" w:color="auto" w:sz="8" w:space="0"/>
              <w:right w:val="single" w:color="auto" w:sz="8" w:space="0"/>
            </w:tcBorders>
            <w:vAlign w:val="center"/>
          </w:tcPr>
          <w:p>
            <w:pPr>
              <w:jc w:val="center"/>
              <w:rPr>
                <w:rFonts w:ascii="仿宋" w:hAnsi="仿宋" w:eastAsia="仿宋" w:cs="Arial"/>
                <w:sz w:val="24"/>
                <w:szCs w:val="24"/>
              </w:rPr>
            </w:pPr>
            <w:r>
              <w:rPr>
                <w:rFonts w:ascii="仿宋" w:hAnsi="仿宋" w:eastAsia="仿宋"/>
                <w:sz w:val="24"/>
                <w:szCs w:val="24"/>
              </w:rPr>
              <w:t>备注</w:t>
            </w:r>
          </w:p>
          <w:p>
            <w:pPr>
              <w:jc w:val="center"/>
              <w:rPr>
                <w:rFonts w:ascii="仿宋" w:hAnsi="仿宋" w:eastAsia="仿宋" w:cs="Arial"/>
                <w:sz w:val="24"/>
                <w:szCs w:val="24"/>
              </w:rPr>
            </w:pPr>
          </w:p>
        </w:tc>
      </w:tr>
      <w:tr>
        <w:tblPrEx>
          <w:tblCellMar>
            <w:top w:w="0" w:type="dxa"/>
            <w:left w:w="108" w:type="dxa"/>
            <w:bottom w:w="0" w:type="dxa"/>
            <w:right w:w="108" w:type="dxa"/>
          </w:tblCellMar>
        </w:tblPrEx>
        <w:trPr>
          <w:cantSplit/>
          <w:trHeight w:val="455" w:hRule="atLeast"/>
          <w:jc w:val="center"/>
        </w:trPr>
        <w:tc>
          <w:tcPr>
            <w:tcW w:w="9675" w:type="dxa"/>
            <w:vMerge w:val="continue"/>
            <w:tcBorders>
              <w:top w:val="single" w:color="auto" w:sz="4" w:space="0"/>
              <w:left w:val="single" w:color="auto" w:sz="8" w:space="0"/>
              <w:bottom w:val="single" w:color="auto" w:sz="8" w:space="0"/>
              <w:right w:val="single" w:color="auto" w:sz="8" w:space="0"/>
            </w:tcBorders>
            <w:vAlign w:val="center"/>
          </w:tcPr>
          <w:p>
            <w:pPr>
              <w:widowControl/>
              <w:jc w:val="left"/>
              <w:rPr>
                <w:rFonts w:ascii="仿宋" w:hAnsi="仿宋" w:eastAsia="仿宋" w:cs="Arial"/>
                <w:sz w:val="24"/>
                <w:szCs w:val="24"/>
              </w:rPr>
            </w:pPr>
          </w:p>
        </w:tc>
        <w:tc>
          <w:tcPr>
            <w:tcW w:w="8849" w:type="dxa"/>
            <w:vMerge w:val="continue"/>
            <w:tcBorders>
              <w:top w:val="single" w:color="auto" w:sz="4" w:space="0"/>
              <w:left w:val="nil"/>
              <w:bottom w:val="single" w:color="auto" w:sz="8" w:space="0"/>
              <w:right w:val="single" w:color="auto" w:sz="8" w:space="0"/>
            </w:tcBorders>
            <w:vAlign w:val="center"/>
          </w:tcPr>
          <w:p>
            <w:pPr>
              <w:widowControl/>
              <w:jc w:val="left"/>
              <w:rPr>
                <w:rFonts w:ascii="仿宋" w:hAnsi="仿宋" w:eastAsia="仿宋" w:cs="Arial"/>
                <w:sz w:val="24"/>
                <w:szCs w:val="24"/>
              </w:rPr>
            </w:pPr>
          </w:p>
        </w:tc>
        <w:tc>
          <w:tcPr>
            <w:tcW w:w="719" w:type="dxa"/>
            <w:vMerge w:val="continue"/>
            <w:tcBorders>
              <w:top w:val="single" w:color="auto" w:sz="4" w:space="0"/>
              <w:left w:val="nil"/>
              <w:bottom w:val="single" w:color="auto" w:sz="8" w:space="0"/>
              <w:right w:val="single" w:color="auto" w:sz="4" w:space="0"/>
            </w:tcBorders>
            <w:vAlign w:val="center"/>
          </w:tcPr>
          <w:p>
            <w:pPr>
              <w:widowControl/>
              <w:jc w:val="left"/>
              <w:rPr>
                <w:rFonts w:ascii="仿宋" w:hAnsi="仿宋" w:eastAsia="仿宋" w:cs="Arial"/>
                <w:sz w:val="24"/>
                <w:szCs w:val="24"/>
              </w:rPr>
            </w:pPr>
          </w:p>
        </w:tc>
        <w:tc>
          <w:tcPr>
            <w:tcW w:w="898" w:type="dxa"/>
            <w:vMerge w:val="continue"/>
            <w:tcBorders>
              <w:top w:val="single" w:color="auto" w:sz="4" w:space="0"/>
              <w:left w:val="nil"/>
              <w:bottom w:val="single" w:color="auto" w:sz="8" w:space="0"/>
              <w:right w:val="single" w:color="auto" w:sz="4" w:space="0"/>
            </w:tcBorders>
            <w:vAlign w:val="center"/>
          </w:tcPr>
          <w:p>
            <w:pPr>
              <w:widowControl/>
              <w:jc w:val="left"/>
              <w:rPr>
                <w:rFonts w:ascii="仿宋" w:hAnsi="仿宋" w:eastAsia="仿宋" w:cs="Arial"/>
                <w:sz w:val="24"/>
                <w:szCs w:val="24"/>
              </w:rPr>
            </w:pPr>
          </w:p>
        </w:tc>
        <w:tc>
          <w:tcPr>
            <w:tcW w:w="719" w:type="dxa"/>
            <w:vMerge w:val="continue"/>
            <w:tcBorders>
              <w:top w:val="single" w:color="auto" w:sz="4" w:space="0"/>
              <w:left w:val="nil"/>
              <w:bottom w:val="single" w:color="auto" w:sz="8" w:space="0"/>
              <w:right w:val="single" w:color="auto" w:sz="4" w:space="0"/>
            </w:tcBorders>
            <w:vAlign w:val="center"/>
          </w:tcPr>
          <w:p>
            <w:pPr>
              <w:widowControl/>
              <w:jc w:val="left"/>
              <w:rPr>
                <w:rFonts w:ascii="仿宋" w:hAnsi="仿宋" w:eastAsia="仿宋" w:cs="Arial"/>
                <w:sz w:val="24"/>
                <w:szCs w:val="24"/>
              </w:rPr>
            </w:pPr>
          </w:p>
        </w:tc>
        <w:tc>
          <w:tcPr>
            <w:tcW w:w="823" w:type="dxa"/>
            <w:vMerge w:val="continue"/>
            <w:tcBorders>
              <w:top w:val="single" w:color="auto" w:sz="4" w:space="0"/>
              <w:left w:val="nil"/>
              <w:bottom w:val="single" w:color="auto" w:sz="8" w:space="0"/>
              <w:right w:val="single" w:color="auto" w:sz="8" w:space="0"/>
            </w:tcBorders>
            <w:vAlign w:val="center"/>
          </w:tcPr>
          <w:p>
            <w:pPr>
              <w:widowControl/>
              <w:jc w:val="left"/>
              <w:rPr>
                <w:rFonts w:ascii="仿宋" w:hAnsi="仿宋" w:eastAsia="仿宋" w:cs="Arial"/>
                <w:sz w:val="24"/>
                <w:szCs w:val="24"/>
              </w:rPr>
            </w:pPr>
          </w:p>
        </w:tc>
        <w:tc>
          <w:tcPr>
            <w:tcW w:w="1078" w:type="dxa"/>
            <w:vMerge w:val="continue"/>
            <w:tcBorders>
              <w:top w:val="single" w:color="auto" w:sz="4" w:space="0"/>
              <w:left w:val="nil"/>
              <w:bottom w:val="single" w:color="auto" w:sz="8" w:space="0"/>
              <w:right w:val="single" w:color="auto" w:sz="8" w:space="0"/>
            </w:tcBorders>
            <w:vAlign w:val="center"/>
          </w:tcPr>
          <w:p>
            <w:pPr>
              <w:widowControl/>
              <w:jc w:val="left"/>
              <w:rPr>
                <w:rFonts w:ascii="仿宋" w:hAnsi="仿宋" w:eastAsia="仿宋" w:cs="Arial"/>
                <w:sz w:val="24"/>
                <w:szCs w:val="24"/>
              </w:rPr>
            </w:pPr>
          </w:p>
        </w:tc>
        <w:tc>
          <w:tcPr>
            <w:tcW w:w="1333" w:type="dxa"/>
            <w:tcBorders>
              <w:top w:val="nil"/>
              <w:left w:val="nil"/>
              <w:bottom w:val="single" w:color="auto" w:sz="8" w:space="0"/>
              <w:right w:val="single" w:color="auto" w:sz="8" w:space="0"/>
            </w:tcBorders>
            <w:vAlign w:val="center"/>
          </w:tcPr>
          <w:p>
            <w:pPr>
              <w:jc w:val="center"/>
              <w:rPr>
                <w:rFonts w:ascii="仿宋" w:hAnsi="仿宋" w:eastAsia="仿宋" w:cs="Arial"/>
                <w:sz w:val="24"/>
                <w:szCs w:val="24"/>
              </w:rPr>
            </w:pPr>
            <w:r>
              <w:rPr>
                <w:rFonts w:ascii="仿宋" w:hAnsi="仿宋" w:eastAsia="仿宋"/>
                <w:sz w:val="24"/>
                <w:szCs w:val="24"/>
              </w:rPr>
              <w:t>证书</w:t>
            </w:r>
          </w:p>
          <w:p>
            <w:pPr>
              <w:jc w:val="center"/>
              <w:rPr>
                <w:rFonts w:ascii="仿宋" w:hAnsi="仿宋" w:eastAsia="仿宋" w:cs="Arial"/>
                <w:sz w:val="24"/>
                <w:szCs w:val="24"/>
              </w:rPr>
            </w:pPr>
            <w:r>
              <w:rPr>
                <w:rFonts w:ascii="仿宋" w:hAnsi="仿宋" w:eastAsia="仿宋"/>
                <w:sz w:val="24"/>
                <w:szCs w:val="24"/>
              </w:rPr>
              <w:t>名称</w:t>
            </w:r>
          </w:p>
        </w:tc>
        <w:tc>
          <w:tcPr>
            <w:tcW w:w="1258" w:type="dxa"/>
            <w:tcBorders>
              <w:top w:val="nil"/>
              <w:left w:val="nil"/>
              <w:bottom w:val="single" w:color="auto" w:sz="8" w:space="0"/>
              <w:right w:val="single" w:color="auto" w:sz="8" w:space="0"/>
            </w:tcBorders>
            <w:vAlign w:val="center"/>
          </w:tcPr>
          <w:p>
            <w:pPr>
              <w:jc w:val="center"/>
              <w:rPr>
                <w:rFonts w:ascii="仿宋" w:hAnsi="仿宋" w:eastAsia="仿宋" w:cs="Arial"/>
                <w:sz w:val="24"/>
                <w:szCs w:val="24"/>
              </w:rPr>
            </w:pPr>
            <w:r>
              <w:rPr>
                <w:rFonts w:ascii="仿宋" w:hAnsi="仿宋" w:eastAsia="仿宋"/>
                <w:sz w:val="24"/>
                <w:szCs w:val="24"/>
              </w:rPr>
              <w:t>证书</w:t>
            </w:r>
          </w:p>
          <w:p>
            <w:pPr>
              <w:jc w:val="center"/>
              <w:rPr>
                <w:rFonts w:ascii="仿宋" w:hAnsi="仿宋" w:eastAsia="仿宋" w:cs="Arial"/>
                <w:sz w:val="24"/>
                <w:szCs w:val="24"/>
              </w:rPr>
            </w:pPr>
            <w:r>
              <w:rPr>
                <w:rFonts w:ascii="仿宋" w:hAnsi="仿宋" w:eastAsia="仿宋"/>
                <w:sz w:val="24"/>
                <w:szCs w:val="24"/>
              </w:rPr>
              <w:t>编号</w:t>
            </w:r>
          </w:p>
        </w:tc>
        <w:tc>
          <w:tcPr>
            <w:tcW w:w="943" w:type="dxa"/>
            <w:vMerge w:val="continue"/>
            <w:tcBorders>
              <w:top w:val="single" w:color="auto" w:sz="4" w:space="0"/>
              <w:left w:val="nil"/>
              <w:bottom w:val="single" w:color="auto" w:sz="8" w:space="0"/>
              <w:right w:val="single" w:color="auto" w:sz="8" w:space="0"/>
            </w:tcBorders>
            <w:vAlign w:val="center"/>
          </w:tcPr>
          <w:p>
            <w:pPr>
              <w:widowControl/>
              <w:jc w:val="left"/>
              <w:rPr>
                <w:rFonts w:ascii="仿宋" w:hAnsi="仿宋" w:eastAsia="仿宋" w:cs="Arial"/>
                <w:sz w:val="24"/>
                <w:szCs w:val="24"/>
              </w:rPr>
            </w:pPr>
          </w:p>
        </w:tc>
      </w:tr>
      <w:tr>
        <w:tblPrEx>
          <w:tblCellMar>
            <w:top w:w="0" w:type="dxa"/>
            <w:left w:w="108" w:type="dxa"/>
            <w:bottom w:w="0" w:type="dxa"/>
            <w:right w:w="108" w:type="dxa"/>
          </w:tblCellMar>
        </w:tblPrEx>
        <w:trPr>
          <w:trHeight w:val="572" w:hRule="atLeast"/>
          <w:jc w:val="center"/>
        </w:trPr>
        <w:tc>
          <w:tcPr>
            <w:tcW w:w="9675" w:type="dxa"/>
            <w:gridSpan w:val="10"/>
            <w:tcBorders>
              <w:top w:val="nil"/>
              <w:left w:val="single" w:color="auto" w:sz="8" w:space="0"/>
              <w:bottom w:val="single" w:color="auto" w:sz="8" w:space="0"/>
              <w:right w:val="single" w:color="auto" w:sz="8" w:space="0"/>
            </w:tcBorders>
            <w:vAlign w:val="center"/>
          </w:tcPr>
          <w:p>
            <w:pPr>
              <w:rPr>
                <w:rFonts w:ascii="仿宋" w:hAnsi="仿宋" w:eastAsia="仿宋" w:cs="Arial"/>
                <w:b/>
                <w:bCs/>
                <w:sz w:val="24"/>
                <w:szCs w:val="24"/>
              </w:rPr>
            </w:pPr>
            <w:r>
              <w:rPr>
                <w:rFonts w:ascii="仿宋" w:hAnsi="仿宋" w:eastAsia="仿宋"/>
                <w:b/>
                <w:bCs/>
                <w:sz w:val="24"/>
                <w:szCs w:val="24"/>
              </w:rPr>
              <w:t>项目总负责人</w:t>
            </w:r>
          </w:p>
        </w:tc>
      </w:tr>
      <w:tr>
        <w:tblPrEx>
          <w:tblCellMar>
            <w:top w:w="0" w:type="dxa"/>
            <w:left w:w="108" w:type="dxa"/>
            <w:bottom w:w="0" w:type="dxa"/>
            <w:right w:w="108" w:type="dxa"/>
          </w:tblCellMar>
        </w:tblPrEx>
        <w:trPr>
          <w:trHeight w:val="572" w:hRule="atLeast"/>
          <w:jc w:val="center"/>
        </w:trPr>
        <w:tc>
          <w:tcPr>
            <w:tcW w:w="826" w:type="dxa"/>
            <w:tcBorders>
              <w:top w:val="nil"/>
              <w:left w:val="single" w:color="auto" w:sz="8" w:space="0"/>
              <w:bottom w:val="single" w:color="auto" w:sz="8" w:space="0"/>
              <w:right w:val="single" w:color="auto" w:sz="8" w:space="0"/>
            </w:tcBorders>
            <w:vAlign w:val="center"/>
          </w:tcPr>
          <w:p>
            <w:pPr>
              <w:jc w:val="center"/>
              <w:rPr>
                <w:rFonts w:ascii="仿宋" w:hAnsi="仿宋" w:eastAsia="仿宋"/>
                <w:sz w:val="24"/>
                <w:szCs w:val="24"/>
              </w:rPr>
            </w:pPr>
            <w:r>
              <w:rPr>
                <w:rFonts w:ascii="仿宋" w:hAnsi="仿宋" w:eastAsia="仿宋"/>
                <w:sz w:val="24"/>
                <w:szCs w:val="24"/>
              </w:rPr>
              <w:t>1</w:t>
            </w:r>
          </w:p>
        </w:tc>
        <w:tc>
          <w:tcPr>
            <w:tcW w:w="107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719"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898"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719"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82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07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33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25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94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r>
      <w:tr>
        <w:tblPrEx>
          <w:tblCellMar>
            <w:top w:w="0" w:type="dxa"/>
            <w:left w:w="108" w:type="dxa"/>
            <w:bottom w:w="0" w:type="dxa"/>
            <w:right w:w="108" w:type="dxa"/>
          </w:tblCellMar>
        </w:tblPrEx>
        <w:trPr>
          <w:trHeight w:val="572" w:hRule="atLeast"/>
          <w:jc w:val="center"/>
        </w:trPr>
        <w:tc>
          <w:tcPr>
            <w:tcW w:w="9675" w:type="dxa"/>
            <w:gridSpan w:val="10"/>
            <w:tcBorders>
              <w:top w:val="nil"/>
              <w:left w:val="single" w:color="auto" w:sz="8" w:space="0"/>
              <w:bottom w:val="single" w:color="auto" w:sz="8" w:space="0"/>
              <w:right w:val="single" w:color="auto" w:sz="8" w:space="0"/>
            </w:tcBorders>
            <w:vAlign w:val="center"/>
          </w:tcPr>
          <w:p>
            <w:pPr>
              <w:rPr>
                <w:rFonts w:ascii="仿宋" w:hAnsi="仿宋" w:eastAsia="仿宋" w:cs="Arial"/>
                <w:b/>
                <w:bCs/>
                <w:sz w:val="24"/>
                <w:szCs w:val="24"/>
              </w:rPr>
            </w:pPr>
            <w:r>
              <w:rPr>
                <w:rFonts w:ascii="仿宋" w:hAnsi="仿宋" w:eastAsia="仿宋"/>
                <w:b/>
                <w:bCs/>
                <w:sz w:val="24"/>
                <w:szCs w:val="24"/>
              </w:rPr>
              <w:t>各专项负责人（含策划、销售负责人）</w:t>
            </w:r>
          </w:p>
        </w:tc>
      </w:tr>
      <w:tr>
        <w:tblPrEx>
          <w:tblCellMar>
            <w:top w:w="0" w:type="dxa"/>
            <w:left w:w="108" w:type="dxa"/>
            <w:bottom w:w="0" w:type="dxa"/>
            <w:right w:w="108" w:type="dxa"/>
          </w:tblCellMar>
        </w:tblPrEx>
        <w:trPr>
          <w:trHeight w:val="572" w:hRule="atLeast"/>
          <w:jc w:val="center"/>
        </w:trPr>
        <w:tc>
          <w:tcPr>
            <w:tcW w:w="826" w:type="dxa"/>
            <w:tcBorders>
              <w:top w:val="nil"/>
              <w:left w:val="single" w:color="auto" w:sz="8" w:space="0"/>
              <w:bottom w:val="single" w:color="auto" w:sz="8" w:space="0"/>
              <w:right w:val="single" w:color="auto" w:sz="8" w:space="0"/>
            </w:tcBorders>
            <w:vAlign w:val="center"/>
          </w:tcPr>
          <w:p>
            <w:pPr>
              <w:jc w:val="center"/>
              <w:rPr>
                <w:rFonts w:ascii="仿宋" w:hAnsi="仿宋" w:eastAsia="仿宋"/>
                <w:sz w:val="24"/>
                <w:szCs w:val="24"/>
              </w:rPr>
            </w:pPr>
            <w:r>
              <w:rPr>
                <w:rFonts w:ascii="仿宋" w:hAnsi="仿宋" w:eastAsia="仿宋"/>
                <w:sz w:val="24"/>
                <w:szCs w:val="24"/>
              </w:rPr>
              <w:t>2</w:t>
            </w:r>
          </w:p>
        </w:tc>
        <w:tc>
          <w:tcPr>
            <w:tcW w:w="107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719"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898"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719"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82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07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33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25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94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r>
      <w:tr>
        <w:tblPrEx>
          <w:tblCellMar>
            <w:top w:w="0" w:type="dxa"/>
            <w:left w:w="108" w:type="dxa"/>
            <w:bottom w:w="0" w:type="dxa"/>
            <w:right w:w="108" w:type="dxa"/>
          </w:tblCellMar>
        </w:tblPrEx>
        <w:trPr>
          <w:trHeight w:val="572" w:hRule="atLeast"/>
          <w:jc w:val="center"/>
        </w:trPr>
        <w:tc>
          <w:tcPr>
            <w:tcW w:w="826" w:type="dxa"/>
            <w:tcBorders>
              <w:top w:val="nil"/>
              <w:left w:val="single" w:color="auto" w:sz="8" w:space="0"/>
              <w:bottom w:val="single" w:color="auto" w:sz="8" w:space="0"/>
              <w:right w:val="single" w:color="auto" w:sz="8" w:space="0"/>
            </w:tcBorders>
            <w:vAlign w:val="center"/>
          </w:tcPr>
          <w:p>
            <w:pPr>
              <w:jc w:val="center"/>
              <w:rPr>
                <w:rFonts w:ascii="仿宋" w:hAnsi="仿宋" w:eastAsia="仿宋"/>
                <w:sz w:val="24"/>
                <w:szCs w:val="24"/>
              </w:rPr>
            </w:pPr>
            <w:r>
              <w:rPr>
                <w:rFonts w:ascii="仿宋" w:hAnsi="仿宋" w:eastAsia="仿宋"/>
                <w:sz w:val="24"/>
                <w:szCs w:val="24"/>
              </w:rPr>
              <w:t>3</w:t>
            </w:r>
          </w:p>
        </w:tc>
        <w:tc>
          <w:tcPr>
            <w:tcW w:w="107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719"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898"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719"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82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07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33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25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94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r>
      <w:tr>
        <w:tblPrEx>
          <w:tblCellMar>
            <w:top w:w="0" w:type="dxa"/>
            <w:left w:w="108" w:type="dxa"/>
            <w:bottom w:w="0" w:type="dxa"/>
            <w:right w:w="108" w:type="dxa"/>
          </w:tblCellMar>
        </w:tblPrEx>
        <w:trPr>
          <w:trHeight w:val="572" w:hRule="atLeast"/>
          <w:jc w:val="center"/>
        </w:trPr>
        <w:tc>
          <w:tcPr>
            <w:tcW w:w="826" w:type="dxa"/>
            <w:tcBorders>
              <w:top w:val="nil"/>
              <w:left w:val="single" w:color="auto" w:sz="8" w:space="0"/>
              <w:bottom w:val="single" w:color="auto" w:sz="4" w:space="0"/>
              <w:right w:val="single" w:color="auto" w:sz="8" w:space="0"/>
            </w:tcBorders>
            <w:vAlign w:val="center"/>
          </w:tcPr>
          <w:p>
            <w:pPr>
              <w:jc w:val="center"/>
              <w:rPr>
                <w:rFonts w:ascii="仿宋" w:hAnsi="仿宋" w:eastAsia="仿宋"/>
                <w:sz w:val="24"/>
                <w:szCs w:val="24"/>
              </w:rPr>
            </w:pPr>
            <w:r>
              <w:rPr>
                <w:rFonts w:ascii="仿宋" w:hAnsi="仿宋" w:eastAsia="仿宋"/>
                <w:sz w:val="24"/>
                <w:szCs w:val="24"/>
              </w:rPr>
              <w:t>4</w:t>
            </w:r>
          </w:p>
        </w:tc>
        <w:tc>
          <w:tcPr>
            <w:tcW w:w="1078" w:type="dxa"/>
            <w:tcBorders>
              <w:top w:val="nil"/>
              <w:left w:val="nil"/>
              <w:bottom w:val="single" w:color="auto" w:sz="4" w:space="0"/>
              <w:right w:val="single" w:color="auto" w:sz="8" w:space="0"/>
            </w:tcBorders>
            <w:vAlign w:val="center"/>
          </w:tcPr>
          <w:p>
            <w:pPr>
              <w:rPr>
                <w:rFonts w:ascii="仿宋" w:hAnsi="仿宋" w:eastAsia="仿宋" w:cs="Arial"/>
                <w:sz w:val="24"/>
                <w:szCs w:val="24"/>
              </w:rPr>
            </w:pPr>
          </w:p>
        </w:tc>
        <w:tc>
          <w:tcPr>
            <w:tcW w:w="719" w:type="dxa"/>
            <w:tcBorders>
              <w:top w:val="nil"/>
              <w:left w:val="nil"/>
              <w:bottom w:val="single" w:color="auto" w:sz="4" w:space="0"/>
              <w:right w:val="single" w:color="auto" w:sz="4" w:space="0"/>
            </w:tcBorders>
            <w:vAlign w:val="center"/>
          </w:tcPr>
          <w:p>
            <w:pPr>
              <w:rPr>
                <w:rFonts w:ascii="仿宋" w:hAnsi="仿宋" w:eastAsia="仿宋" w:cs="Arial"/>
                <w:sz w:val="24"/>
                <w:szCs w:val="24"/>
              </w:rPr>
            </w:pPr>
          </w:p>
        </w:tc>
        <w:tc>
          <w:tcPr>
            <w:tcW w:w="898" w:type="dxa"/>
            <w:tcBorders>
              <w:top w:val="nil"/>
              <w:left w:val="nil"/>
              <w:bottom w:val="single" w:color="auto" w:sz="4" w:space="0"/>
              <w:right w:val="single" w:color="auto" w:sz="4" w:space="0"/>
            </w:tcBorders>
            <w:vAlign w:val="center"/>
          </w:tcPr>
          <w:p>
            <w:pPr>
              <w:rPr>
                <w:rFonts w:ascii="仿宋" w:hAnsi="仿宋" w:eastAsia="仿宋" w:cs="Arial"/>
                <w:sz w:val="24"/>
                <w:szCs w:val="24"/>
              </w:rPr>
            </w:pPr>
          </w:p>
        </w:tc>
        <w:tc>
          <w:tcPr>
            <w:tcW w:w="719" w:type="dxa"/>
            <w:tcBorders>
              <w:top w:val="nil"/>
              <w:left w:val="nil"/>
              <w:bottom w:val="single" w:color="auto" w:sz="4" w:space="0"/>
              <w:right w:val="single" w:color="auto" w:sz="4" w:space="0"/>
            </w:tcBorders>
            <w:vAlign w:val="center"/>
          </w:tcPr>
          <w:p>
            <w:pPr>
              <w:rPr>
                <w:rFonts w:ascii="仿宋" w:hAnsi="仿宋" w:eastAsia="仿宋" w:cs="Arial"/>
                <w:sz w:val="24"/>
                <w:szCs w:val="24"/>
              </w:rPr>
            </w:pPr>
          </w:p>
        </w:tc>
        <w:tc>
          <w:tcPr>
            <w:tcW w:w="823" w:type="dxa"/>
            <w:tcBorders>
              <w:top w:val="nil"/>
              <w:left w:val="nil"/>
              <w:bottom w:val="single" w:color="auto" w:sz="4" w:space="0"/>
              <w:right w:val="single" w:color="auto" w:sz="8" w:space="0"/>
            </w:tcBorders>
            <w:vAlign w:val="center"/>
          </w:tcPr>
          <w:p>
            <w:pPr>
              <w:rPr>
                <w:rFonts w:ascii="仿宋" w:hAnsi="仿宋" w:eastAsia="仿宋" w:cs="Arial"/>
                <w:sz w:val="24"/>
                <w:szCs w:val="24"/>
              </w:rPr>
            </w:pPr>
          </w:p>
        </w:tc>
        <w:tc>
          <w:tcPr>
            <w:tcW w:w="1078" w:type="dxa"/>
            <w:tcBorders>
              <w:top w:val="nil"/>
              <w:left w:val="nil"/>
              <w:bottom w:val="single" w:color="auto" w:sz="4" w:space="0"/>
              <w:right w:val="single" w:color="auto" w:sz="8" w:space="0"/>
            </w:tcBorders>
            <w:vAlign w:val="center"/>
          </w:tcPr>
          <w:p>
            <w:pPr>
              <w:rPr>
                <w:rFonts w:ascii="仿宋" w:hAnsi="仿宋" w:eastAsia="仿宋" w:cs="Arial"/>
                <w:sz w:val="24"/>
                <w:szCs w:val="24"/>
              </w:rPr>
            </w:pPr>
          </w:p>
        </w:tc>
        <w:tc>
          <w:tcPr>
            <w:tcW w:w="1333" w:type="dxa"/>
            <w:tcBorders>
              <w:top w:val="nil"/>
              <w:left w:val="nil"/>
              <w:bottom w:val="single" w:color="auto" w:sz="4" w:space="0"/>
              <w:right w:val="single" w:color="auto" w:sz="8" w:space="0"/>
            </w:tcBorders>
            <w:vAlign w:val="center"/>
          </w:tcPr>
          <w:p>
            <w:pPr>
              <w:rPr>
                <w:rFonts w:ascii="仿宋" w:hAnsi="仿宋" w:eastAsia="仿宋" w:cs="Arial"/>
                <w:sz w:val="24"/>
                <w:szCs w:val="24"/>
              </w:rPr>
            </w:pPr>
          </w:p>
        </w:tc>
        <w:tc>
          <w:tcPr>
            <w:tcW w:w="1258" w:type="dxa"/>
            <w:tcBorders>
              <w:top w:val="nil"/>
              <w:left w:val="nil"/>
              <w:bottom w:val="single" w:color="auto" w:sz="4" w:space="0"/>
              <w:right w:val="single" w:color="auto" w:sz="8" w:space="0"/>
            </w:tcBorders>
            <w:vAlign w:val="center"/>
          </w:tcPr>
          <w:p>
            <w:pPr>
              <w:rPr>
                <w:rFonts w:ascii="仿宋" w:hAnsi="仿宋" w:eastAsia="仿宋" w:cs="Arial"/>
                <w:sz w:val="24"/>
                <w:szCs w:val="24"/>
              </w:rPr>
            </w:pPr>
          </w:p>
        </w:tc>
        <w:tc>
          <w:tcPr>
            <w:tcW w:w="943" w:type="dxa"/>
            <w:tcBorders>
              <w:top w:val="nil"/>
              <w:left w:val="nil"/>
              <w:bottom w:val="single" w:color="auto" w:sz="4" w:space="0"/>
              <w:right w:val="single" w:color="auto" w:sz="8" w:space="0"/>
            </w:tcBorders>
            <w:vAlign w:val="center"/>
          </w:tcPr>
          <w:p>
            <w:pPr>
              <w:rPr>
                <w:rFonts w:ascii="仿宋" w:hAnsi="仿宋" w:eastAsia="仿宋" w:cs="Arial"/>
                <w:sz w:val="24"/>
                <w:szCs w:val="24"/>
              </w:rPr>
            </w:pPr>
          </w:p>
        </w:tc>
      </w:tr>
      <w:tr>
        <w:tblPrEx>
          <w:tblCellMar>
            <w:top w:w="0" w:type="dxa"/>
            <w:left w:w="108" w:type="dxa"/>
            <w:bottom w:w="0" w:type="dxa"/>
            <w:right w:w="108" w:type="dxa"/>
          </w:tblCellMar>
        </w:tblPrEx>
        <w:trPr>
          <w:trHeight w:val="572"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24"/>
                <w:szCs w:val="24"/>
              </w:rPr>
            </w:pPr>
            <w:r>
              <w:rPr>
                <w:rFonts w:ascii="仿宋" w:hAnsi="仿宋" w:eastAsia="仿宋"/>
                <w:sz w:val="24"/>
                <w:szCs w:val="24"/>
              </w:rPr>
              <w:t>…</w:t>
            </w:r>
          </w:p>
        </w:tc>
        <w:tc>
          <w:tcPr>
            <w:tcW w:w="1078"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719"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898"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719"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823"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1078"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1333"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1258"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943"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r>
      <w:tr>
        <w:tblPrEx>
          <w:tblCellMar>
            <w:top w:w="0" w:type="dxa"/>
            <w:left w:w="108" w:type="dxa"/>
            <w:bottom w:w="0" w:type="dxa"/>
            <w:right w:w="108" w:type="dxa"/>
          </w:tblCellMar>
        </w:tblPrEx>
        <w:trPr>
          <w:trHeight w:val="572" w:hRule="atLeast"/>
          <w:jc w:val="center"/>
        </w:trPr>
        <w:tc>
          <w:tcPr>
            <w:tcW w:w="9675" w:type="dxa"/>
            <w:gridSpan w:val="10"/>
            <w:tcBorders>
              <w:top w:val="single" w:color="auto" w:sz="4" w:space="0"/>
              <w:left w:val="single" w:color="auto" w:sz="8" w:space="0"/>
              <w:bottom w:val="single" w:color="auto" w:sz="8" w:space="0"/>
              <w:right w:val="single" w:color="auto" w:sz="8" w:space="0"/>
            </w:tcBorders>
            <w:vAlign w:val="center"/>
          </w:tcPr>
          <w:p>
            <w:pPr>
              <w:rPr>
                <w:rFonts w:ascii="仿宋" w:hAnsi="仿宋" w:eastAsia="仿宋" w:cs="Arial"/>
                <w:b/>
                <w:bCs/>
                <w:sz w:val="24"/>
                <w:szCs w:val="24"/>
              </w:rPr>
            </w:pPr>
            <w:r>
              <w:rPr>
                <w:rFonts w:ascii="仿宋" w:hAnsi="仿宋" w:eastAsia="仿宋"/>
                <w:b/>
                <w:bCs/>
                <w:sz w:val="24"/>
                <w:szCs w:val="24"/>
              </w:rPr>
              <w:t>服务团队</w:t>
            </w:r>
          </w:p>
        </w:tc>
      </w:tr>
      <w:tr>
        <w:tblPrEx>
          <w:tblCellMar>
            <w:top w:w="0" w:type="dxa"/>
            <w:left w:w="108" w:type="dxa"/>
            <w:bottom w:w="0" w:type="dxa"/>
            <w:right w:w="108" w:type="dxa"/>
          </w:tblCellMar>
        </w:tblPrEx>
        <w:trPr>
          <w:trHeight w:val="572" w:hRule="atLeast"/>
          <w:jc w:val="center"/>
        </w:trPr>
        <w:tc>
          <w:tcPr>
            <w:tcW w:w="826" w:type="dxa"/>
            <w:tcBorders>
              <w:top w:val="nil"/>
              <w:left w:val="single" w:color="auto" w:sz="8" w:space="0"/>
              <w:bottom w:val="single" w:color="auto" w:sz="8" w:space="0"/>
              <w:right w:val="single" w:color="auto" w:sz="8" w:space="0"/>
            </w:tcBorders>
            <w:vAlign w:val="center"/>
          </w:tcPr>
          <w:p>
            <w:pPr>
              <w:jc w:val="center"/>
              <w:rPr>
                <w:rFonts w:ascii="仿宋" w:hAnsi="仿宋" w:eastAsia="仿宋"/>
                <w:sz w:val="24"/>
                <w:szCs w:val="24"/>
              </w:rPr>
            </w:pPr>
            <w:r>
              <w:rPr>
                <w:rFonts w:ascii="仿宋" w:hAnsi="仿宋" w:eastAsia="仿宋"/>
                <w:sz w:val="24"/>
                <w:szCs w:val="24"/>
              </w:rPr>
              <w:t>5</w:t>
            </w:r>
          </w:p>
        </w:tc>
        <w:tc>
          <w:tcPr>
            <w:tcW w:w="107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719"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898"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719"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82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07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33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25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94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r>
      <w:tr>
        <w:tblPrEx>
          <w:tblCellMar>
            <w:top w:w="0" w:type="dxa"/>
            <w:left w:w="108" w:type="dxa"/>
            <w:bottom w:w="0" w:type="dxa"/>
            <w:right w:w="108" w:type="dxa"/>
          </w:tblCellMar>
        </w:tblPrEx>
        <w:trPr>
          <w:trHeight w:val="572" w:hRule="atLeast"/>
          <w:jc w:val="center"/>
        </w:trPr>
        <w:tc>
          <w:tcPr>
            <w:tcW w:w="826" w:type="dxa"/>
            <w:tcBorders>
              <w:top w:val="nil"/>
              <w:left w:val="single" w:color="auto" w:sz="8" w:space="0"/>
              <w:bottom w:val="single" w:color="auto" w:sz="8" w:space="0"/>
              <w:right w:val="single" w:color="auto" w:sz="8" w:space="0"/>
            </w:tcBorders>
            <w:vAlign w:val="center"/>
          </w:tcPr>
          <w:p>
            <w:pPr>
              <w:jc w:val="center"/>
              <w:rPr>
                <w:rFonts w:ascii="仿宋" w:hAnsi="仿宋" w:eastAsia="仿宋"/>
                <w:sz w:val="24"/>
                <w:szCs w:val="24"/>
              </w:rPr>
            </w:pPr>
            <w:r>
              <w:rPr>
                <w:rFonts w:ascii="仿宋" w:hAnsi="仿宋" w:eastAsia="仿宋"/>
                <w:sz w:val="24"/>
                <w:szCs w:val="24"/>
              </w:rPr>
              <w:t>6</w:t>
            </w:r>
          </w:p>
        </w:tc>
        <w:tc>
          <w:tcPr>
            <w:tcW w:w="107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719"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898"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719" w:type="dxa"/>
            <w:tcBorders>
              <w:top w:val="nil"/>
              <w:left w:val="nil"/>
              <w:bottom w:val="single" w:color="auto" w:sz="8" w:space="0"/>
              <w:right w:val="single" w:color="auto" w:sz="4" w:space="0"/>
            </w:tcBorders>
            <w:vAlign w:val="center"/>
          </w:tcPr>
          <w:p>
            <w:pPr>
              <w:rPr>
                <w:rFonts w:ascii="仿宋" w:hAnsi="仿宋" w:eastAsia="仿宋" w:cs="Arial"/>
                <w:sz w:val="24"/>
                <w:szCs w:val="24"/>
              </w:rPr>
            </w:pPr>
          </w:p>
        </w:tc>
        <w:tc>
          <w:tcPr>
            <w:tcW w:w="82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07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33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1258"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c>
          <w:tcPr>
            <w:tcW w:w="943" w:type="dxa"/>
            <w:tcBorders>
              <w:top w:val="nil"/>
              <w:left w:val="nil"/>
              <w:bottom w:val="single" w:color="auto" w:sz="8" w:space="0"/>
              <w:right w:val="single" w:color="auto" w:sz="8" w:space="0"/>
            </w:tcBorders>
            <w:vAlign w:val="center"/>
          </w:tcPr>
          <w:p>
            <w:pPr>
              <w:rPr>
                <w:rFonts w:ascii="仿宋" w:hAnsi="仿宋" w:eastAsia="仿宋" w:cs="Arial"/>
                <w:sz w:val="24"/>
                <w:szCs w:val="24"/>
              </w:rPr>
            </w:pPr>
          </w:p>
        </w:tc>
      </w:tr>
      <w:tr>
        <w:tblPrEx>
          <w:tblCellMar>
            <w:top w:w="0" w:type="dxa"/>
            <w:left w:w="108" w:type="dxa"/>
            <w:bottom w:w="0" w:type="dxa"/>
            <w:right w:w="108" w:type="dxa"/>
          </w:tblCellMar>
        </w:tblPrEx>
        <w:trPr>
          <w:trHeight w:val="572" w:hRule="atLeast"/>
          <w:jc w:val="center"/>
        </w:trPr>
        <w:tc>
          <w:tcPr>
            <w:tcW w:w="826" w:type="dxa"/>
            <w:tcBorders>
              <w:top w:val="nil"/>
              <w:left w:val="single" w:color="auto" w:sz="8" w:space="0"/>
              <w:bottom w:val="single" w:color="auto" w:sz="4" w:space="0"/>
              <w:right w:val="single" w:color="auto" w:sz="8" w:space="0"/>
            </w:tcBorders>
            <w:vAlign w:val="center"/>
          </w:tcPr>
          <w:p>
            <w:pPr>
              <w:jc w:val="center"/>
              <w:rPr>
                <w:rFonts w:ascii="仿宋" w:hAnsi="仿宋" w:eastAsia="仿宋"/>
                <w:sz w:val="24"/>
                <w:szCs w:val="24"/>
              </w:rPr>
            </w:pPr>
            <w:r>
              <w:rPr>
                <w:rFonts w:ascii="仿宋" w:hAnsi="仿宋" w:eastAsia="仿宋"/>
                <w:sz w:val="24"/>
                <w:szCs w:val="24"/>
              </w:rPr>
              <w:t>7</w:t>
            </w:r>
          </w:p>
        </w:tc>
        <w:tc>
          <w:tcPr>
            <w:tcW w:w="1078" w:type="dxa"/>
            <w:tcBorders>
              <w:top w:val="nil"/>
              <w:left w:val="nil"/>
              <w:bottom w:val="single" w:color="auto" w:sz="4" w:space="0"/>
              <w:right w:val="single" w:color="auto" w:sz="8" w:space="0"/>
            </w:tcBorders>
            <w:vAlign w:val="center"/>
          </w:tcPr>
          <w:p>
            <w:pPr>
              <w:rPr>
                <w:rFonts w:ascii="仿宋" w:hAnsi="仿宋" w:eastAsia="仿宋" w:cs="Arial"/>
                <w:sz w:val="24"/>
                <w:szCs w:val="24"/>
              </w:rPr>
            </w:pPr>
          </w:p>
        </w:tc>
        <w:tc>
          <w:tcPr>
            <w:tcW w:w="719" w:type="dxa"/>
            <w:tcBorders>
              <w:top w:val="nil"/>
              <w:left w:val="nil"/>
              <w:bottom w:val="single" w:color="auto" w:sz="4" w:space="0"/>
              <w:right w:val="single" w:color="auto" w:sz="4" w:space="0"/>
            </w:tcBorders>
            <w:vAlign w:val="center"/>
          </w:tcPr>
          <w:p>
            <w:pPr>
              <w:rPr>
                <w:rFonts w:ascii="仿宋" w:hAnsi="仿宋" w:eastAsia="仿宋" w:cs="Arial"/>
                <w:sz w:val="24"/>
                <w:szCs w:val="24"/>
              </w:rPr>
            </w:pPr>
          </w:p>
        </w:tc>
        <w:tc>
          <w:tcPr>
            <w:tcW w:w="898" w:type="dxa"/>
            <w:tcBorders>
              <w:top w:val="nil"/>
              <w:left w:val="nil"/>
              <w:bottom w:val="single" w:color="auto" w:sz="4" w:space="0"/>
              <w:right w:val="single" w:color="auto" w:sz="4" w:space="0"/>
            </w:tcBorders>
            <w:vAlign w:val="center"/>
          </w:tcPr>
          <w:p>
            <w:pPr>
              <w:rPr>
                <w:rFonts w:ascii="仿宋" w:hAnsi="仿宋" w:eastAsia="仿宋" w:cs="Arial"/>
                <w:sz w:val="24"/>
                <w:szCs w:val="24"/>
              </w:rPr>
            </w:pPr>
          </w:p>
        </w:tc>
        <w:tc>
          <w:tcPr>
            <w:tcW w:w="719" w:type="dxa"/>
            <w:tcBorders>
              <w:top w:val="nil"/>
              <w:left w:val="nil"/>
              <w:bottom w:val="single" w:color="auto" w:sz="4" w:space="0"/>
              <w:right w:val="single" w:color="auto" w:sz="4" w:space="0"/>
            </w:tcBorders>
            <w:vAlign w:val="center"/>
          </w:tcPr>
          <w:p>
            <w:pPr>
              <w:rPr>
                <w:rFonts w:ascii="仿宋" w:hAnsi="仿宋" w:eastAsia="仿宋" w:cs="Arial"/>
                <w:sz w:val="24"/>
                <w:szCs w:val="24"/>
              </w:rPr>
            </w:pPr>
          </w:p>
        </w:tc>
        <w:tc>
          <w:tcPr>
            <w:tcW w:w="823" w:type="dxa"/>
            <w:tcBorders>
              <w:top w:val="nil"/>
              <w:left w:val="nil"/>
              <w:bottom w:val="single" w:color="auto" w:sz="4" w:space="0"/>
              <w:right w:val="single" w:color="auto" w:sz="8" w:space="0"/>
            </w:tcBorders>
            <w:vAlign w:val="center"/>
          </w:tcPr>
          <w:p>
            <w:pPr>
              <w:rPr>
                <w:rFonts w:ascii="仿宋" w:hAnsi="仿宋" w:eastAsia="仿宋" w:cs="Arial"/>
                <w:sz w:val="24"/>
                <w:szCs w:val="24"/>
              </w:rPr>
            </w:pPr>
          </w:p>
        </w:tc>
        <w:tc>
          <w:tcPr>
            <w:tcW w:w="1078" w:type="dxa"/>
            <w:tcBorders>
              <w:top w:val="nil"/>
              <w:left w:val="nil"/>
              <w:bottom w:val="single" w:color="auto" w:sz="4" w:space="0"/>
              <w:right w:val="single" w:color="auto" w:sz="8" w:space="0"/>
            </w:tcBorders>
            <w:vAlign w:val="center"/>
          </w:tcPr>
          <w:p>
            <w:pPr>
              <w:rPr>
                <w:rFonts w:ascii="仿宋" w:hAnsi="仿宋" w:eastAsia="仿宋" w:cs="Arial"/>
                <w:sz w:val="24"/>
                <w:szCs w:val="24"/>
              </w:rPr>
            </w:pPr>
          </w:p>
        </w:tc>
        <w:tc>
          <w:tcPr>
            <w:tcW w:w="1333" w:type="dxa"/>
            <w:tcBorders>
              <w:top w:val="nil"/>
              <w:left w:val="nil"/>
              <w:bottom w:val="single" w:color="auto" w:sz="4" w:space="0"/>
              <w:right w:val="single" w:color="auto" w:sz="8" w:space="0"/>
            </w:tcBorders>
            <w:vAlign w:val="center"/>
          </w:tcPr>
          <w:p>
            <w:pPr>
              <w:rPr>
                <w:rFonts w:ascii="仿宋" w:hAnsi="仿宋" w:eastAsia="仿宋" w:cs="Arial"/>
                <w:sz w:val="24"/>
                <w:szCs w:val="24"/>
              </w:rPr>
            </w:pPr>
          </w:p>
        </w:tc>
        <w:tc>
          <w:tcPr>
            <w:tcW w:w="1258" w:type="dxa"/>
            <w:tcBorders>
              <w:top w:val="nil"/>
              <w:left w:val="nil"/>
              <w:bottom w:val="single" w:color="auto" w:sz="4" w:space="0"/>
              <w:right w:val="single" w:color="auto" w:sz="8" w:space="0"/>
            </w:tcBorders>
            <w:vAlign w:val="center"/>
          </w:tcPr>
          <w:p>
            <w:pPr>
              <w:rPr>
                <w:rFonts w:ascii="仿宋" w:hAnsi="仿宋" w:eastAsia="仿宋" w:cs="Arial"/>
                <w:sz w:val="24"/>
                <w:szCs w:val="24"/>
              </w:rPr>
            </w:pPr>
          </w:p>
        </w:tc>
        <w:tc>
          <w:tcPr>
            <w:tcW w:w="943" w:type="dxa"/>
            <w:tcBorders>
              <w:top w:val="nil"/>
              <w:left w:val="nil"/>
              <w:bottom w:val="single" w:color="auto" w:sz="4" w:space="0"/>
              <w:right w:val="single" w:color="auto" w:sz="8" w:space="0"/>
            </w:tcBorders>
            <w:vAlign w:val="center"/>
          </w:tcPr>
          <w:p>
            <w:pPr>
              <w:rPr>
                <w:rFonts w:ascii="仿宋" w:hAnsi="仿宋" w:eastAsia="仿宋" w:cs="Arial"/>
                <w:sz w:val="24"/>
                <w:szCs w:val="24"/>
              </w:rPr>
            </w:pPr>
          </w:p>
        </w:tc>
      </w:tr>
      <w:tr>
        <w:tblPrEx>
          <w:tblCellMar>
            <w:top w:w="0" w:type="dxa"/>
            <w:left w:w="108" w:type="dxa"/>
            <w:bottom w:w="0" w:type="dxa"/>
            <w:right w:w="108" w:type="dxa"/>
          </w:tblCellMar>
        </w:tblPrEx>
        <w:trPr>
          <w:trHeight w:val="572"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24"/>
                <w:szCs w:val="24"/>
              </w:rPr>
            </w:pPr>
            <w:r>
              <w:rPr>
                <w:rFonts w:ascii="仿宋" w:hAnsi="仿宋" w:eastAsia="仿宋"/>
                <w:sz w:val="24"/>
                <w:szCs w:val="24"/>
              </w:rPr>
              <w:t>…</w:t>
            </w:r>
          </w:p>
        </w:tc>
        <w:tc>
          <w:tcPr>
            <w:tcW w:w="1078"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719"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898"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719"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823"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1078"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1333"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1258"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c>
          <w:tcPr>
            <w:tcW w:w="943" w:type="dxa"/>
            <w:tcBorders>
              <w:top w:val="single" w:color="auto" w:sz="4" w:space="0"/>
              <w:left w:val="nil"/>
              <w:bottom w:val="single" w:color="auto" w:sz="4" w:space="0"/>
              <w:right w:val="single" w:color="auto" w:sz="4" w:space="0"/>
            </w:tcBorders>
          </w:tcPr>
          <w:p>
            <w:pPr>
              <w:rPr>
                <w:rFonts w:ascii="仿宋" w:hAnsi="仿宋" w:eastAsia="仿宋" w:cs="Arial"/>
                <w:sz w:val="24"/>
                <w:szCs w:val="24"/>
              </w:rPr>
            </w:pPr>
          </w:p>
        </w:tc>
      </w:tr>
      <w:tr>
        <w:tblPrEx>
          <w:tblCellMar>
            <w:top w:w="0" w:type="dxa"/>
            <w:left w:w="108" w:type="dxa"/>
            <w:bottom w:w="0" w:type="dxa"/>
            <w:right w:w="108" w:type="dxa"/>
          </w:tblCellMar>
        </w:tblPrEx>
        <w:trPr>
          <w:cantSplit/>
          <w:trHeight w:val="1298" w:hRule="atLeast"/>
          <w:jc w:val="center"/>
        </w:trPr>
        <w:tc>
          <w:tcPr>
            <w:tcW w:w="826" w:type="dxa"/>
            <w:tcBorders>
              <w:top w:val="single" w:color="auto" w:sz="4" w:space="0"/>
              <w:left w:val="single" w:color="auto" w:sz="8" w:space="0"/>
              <w:bottom w:val="single" w:color="auto" w:sz="8" w:space="0"/>
              <w:right w:val="single" w:color="auto" w:sz="4" w:space="0"/>
            </w:tcBorders>
            <w:vAlign w:val="center"/>
          </w:tcPr>
          <w:p>
            <w:pPr>
              <w:rPr>
                <w:rFonts w:ascii="仿宋" w:hAnsi="仿宋" w:eastAsia="仿宋" w:cs="Arial"/>
                <w:sz w:val="24"/>
                <w:szCs w:val="24"/>
              </w:rPr>
            </w:pPr>
            <w:r>
              <w:rPr>
                <w:rFonts w:ascii="仿宋" w:hAnsi="仿宋" w:eastAsia="仿宋"/>
                <w:sz w:val="24"/>
                <w:szCs w:val="24"/>
              </w:rPr>
              <w:t>备注</w:t>
            </w:r>
          </w:p>
        </w:tc>
        <w:tc>
          <w:tcPr>
            <w:tcW w:w="8849" w:type="dxa"/>
            <w:gridSpan w:val="9"/>
            <w:tcBorders>
              <w:top w:val="single" w:color="auto" w:sz="4" w:space="0"/>
              <w:left w:val="nil"/>
              <w:bottom w:val="single" w:color="auto" w:sz="8" w:space="0"/>
              <w:right w:val="single" w:color="auto" w:sz="8" w:space="0"/>
            </w:tcBorders>
            <w:vAlign w:val="center"/>
          </w:tcPr>
          <w:p>
            <w:pPr>
              <w:spacing w:line="500" w:lineRule="exact"/>
              <w:rPr>
                <w:rFonts w:ascii="仿宋" w:hAnsi="仿宋" w:eastAsia="仿宋" w:cs="Arial"/>
                <w:sz w:val="24"/>
                <w:szCs w:val="24"/>
              </w:rPr>
            </w:pPr>
            <w:r>
              <w:rPr>
                <w:rFonts w:ascii="仿宋" w:hAnsi="仿宋" w:eastAsia="仿宋"/>
                <w:sz w:val="24"/>
                <w:szCs w:val="24"/>
              </w:rPr>
              <w:t>双方一致同意，若上述人员配置仍不能满足项目进度需要时，乙方将随时无条件增派其他专业人员，确保按时、保质完成任务。</w:t>
            </w:r>
          </w:p>
        </w:tc>
      </w:tr>
    </w:tbl>
    <w:p>
      <w:pPr>
        <w:spacing w:line="360" w:lineRule="auto"/>
        <w:ind w:firstLine="640" w:firstLineChars="200"/>
        <w:rPr>
          <w:rFonts w:ascii="仿宋" w:hAnsi="仿宋" w:eastAsia="仿宋"/>
          <w:sz w:val="32"/>
          <w:szCs w:val="32"/>
        </w:rPr>
      </w:pPr>
      <w:r>
        <w:rPr>
          <w:rFonts w:ascii="仿宋" w:hAnsi="仿宋" w:eastAsia="仿宋"/>
          <w:sz w:val="32"/>
          <w:szCs w:val="32"/>
        </w:rPr>
        <w:t xml:space="preserve"> </w:t>
      </w: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7E"/>
    <w:rsid w:val="000030EF"/>
    <w:rsid w:val="000444D6"/>
    <w:rsid w:val="00063EE1"/>
    <w:rsid w:val="00225F2B"/>
    <w:rsid w:val="0026433B"/>
    <w:rsid w:val="0027121B"/>
    <w:rsid w:val="003B16EF"/>
    <w:rsid w:val="00495D7A"/>
    <w:rsid w:val="00526CE9"/>
    <w:rsid w:val="0063564E"/>
    <w:rsid w:val="006A4ED8"/>
    <w:rsid w:val="00725DE6"/>
    <w:rsid w:val="007514F3"/>
    <w:rsid w:val="007C18CD"/>
    <w:rsid w:val="007F0FCC"/>
    <w:rsid w:val="008838D7"/>
    <w:rsid w:val="008F0B32"/>
    <w:rsid w:val="009F3DBC"/>
    <w:rsid w:val="00AA4E61"/>
    <w:rsid w:val="00AE0971"/>
    <w:rsid w:val="00AE3775"/>
    <w:rsid w:val="00B84985"/>
    <w:rsid w:val="00C14B3C"/>
    <w:rsid w:val="00C62542"/>
    <w:rsid w:val="00DD6014"/>
    <w:rsid w:val="00E00362"/>
    <w:rsid w:val="00E9367E"/>
    <w:rsid w:val="00F224DF"/>
    <w:rsid w:val="2AC568FE"/>
    <w:rsid w:val="46E27AF5"/>
    <w:rsid w:val="65093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Default"/>
    <w:basedOn w:val="1"/>
    <w:uiPriority w:val="0"/>
    <w:pPr>
      <w:autoSpaceDE w:val="0"/>
      <w:autoSpaceDN w:val="0"/>
      <w:adjustRightInd w:val="0"/>
      <w:jc w:val="left"/>
    </w:pPr>
    <w:rPr>
      <w:rFonts w:ascii="宋体" w:hAnsi="Times New Roman" w:cs="宋体"/>
      <w:color w:val="000000"/>
      <w:kern w:val="0"/>
      <w:sz w:val="24"/>
      <w:szCs w:val="24"/>
    </w:rPr>
  </w:style>
  <w:style w:type="paragraph" w:styleId="3">
    <w:name w:val="annotation text"/>
    <w:basedOn w:val="1"/>
    <w:link w:val="9"/>
    <w:semiHidden/>
    <w:unhideWhenUsed/>
    <w:uiPriority w:val="99"/>
    <w:pPr>
      <w:jc w:val="left"/>
    </w:pPr>
    <w:rPr>
      <w:rFonts w:ascii="Times New Roman" w:hAnsi="Times New Roman" w:cs="Times New Roman"/>
      <w:kern w:val="0"/>
      <w:sz w:val="20"/>
      <w:szCs w:val="20"/>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批注文字 Char"/>
    <w:basedOn w:val="8"/>
    <w:link w:val="3"/>
    <w:semiHidden/>
    <w:uiPriority w:val="99"/>
    <w:rPr>
      <w:rFonts w:ascii="Times New Roman" w:hAnsi="Times New Roman" w:eastAsia="宋体" w:cs="Times New Roman"/>
      <w:kern w:val="0"/>
      <w:sz w:val="20"/>
      <w:szCs w:val="20"/>
    </w:rPr>
  </w:style>
  <w:style w:type="character" w:customStyle="1" w:styleId="10">
    <w:name w:val="16"/>
    <w:basedOn w:val="8"/>
    <w:uiPriority w:val="0"/>
    <w:rPr>
      <w:rFonts w:hint="default" w:ascii="Times New Roman" w:hAnsi="Times New Roman" w:cs="Times New Roman"/>
      <w:color w:val="000000"/>
      <w:sz w:val="24"/>
      <w:szCs w:val="24"/>
    </w:rPr>
  </w:style>
  <w:style w:type="character" w:customStyle="1" w:styleId="11">
    <w:name w:val="页眉 Char"/>
    <w:basedOn w:val="8"/>
    <w:link w:val="5"/>
    <w:qFormat/>
    <w:uiPriority w:val="99"/>
    <w:rPr>
      <w:rFonts w:ascii="Calibri" w:hAnsi="Calibri" w:eastAsia="宋体" w:cs="Calibri"/>
      <w:sz w:val="18"/>
      <w:szCs w:val="18"/>
    </w:rPr>
  </w:style>
  <w:style w:type="character" w:customStyle="1" w:styleId="12">
    <w:name w:val="页脚 Char"/>
    <w:basedOn w:val="8"/>
    <w:link w:val="4"/>
    <w:qFormat/>
    <w:uiPriority w:val="99"/>
    <w:rPr>
      <w:rFonts w:ascii="Calibri" w:hAnsi="Calibri" w:eastAsia="宋体" w:cs="Calibri"/>
      <w:sz w:val="18"/>
      <w:szCs w:val="18"/>
    </w:rPr>
  </w:style>
  <w:style w:type="paragraph" w:customStyle="1" w:styleId="13">
    <w:name w:val="列出段落1"/>
    <w:basedOn w:val="1"/>
    <w:qFormat/>
    <w:uiPriority w:val="0"/>
    <w:pPr>
      <w:ind w:firstLine="420" w:firstLineChars="200"/>
    </w:pPr>
    <w:rPr>
      <w:rFonts w:cs="Times New Roman"/>
    </w:rPr>
  </w:style>
  <w:style w:type="character" w:customStyle="1" w:styleId="14">
    <w:name w:val="17"/>
    <w:basedOn w:val="8"/>
    <w:qFormat/>
    <w:uiPriority w:val="0"/>
    <w:rPr>
      <w:rFonts w:hint="default" w:ascii="Calibri" w:hAnsi="Calibri" w:cs="Calibri"/>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1059</Words>
  <Characters>6041</Characters>
  <Lines>50</Lines>
  <Paragraphs>14</Paragraphs>
  <TotalTime>0</TotalTime>
  <ScaleCrop>false</ScaleCrop>
  <LinksUpToDate>false</LinksUpToDate>
  <CharactersWithSpaces>7086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2020-12-22T03:11:00Z</dcterms:created>
  <dc:creator>yi lin</dc:creator>
  <cp:lastModifiedBy>欧宇旻</cp:lastModifiedBy>
  <dcterms:modified xsi:type="dcterms:W3CDTF">2021-01-12T06:08:49Z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